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CA42" w14:textId="71F32004" w:rsidR="001D6981" w:rsidRPr="00541803" w:rsidRDefault="004F2E8C" w:rsidP="004C5927">
      <w:pPr>
        <w:pStyle w:val="Normal1"/>
        <w:spacing w:after="200"/>
        <w:jc w:val="both"/>
        <w:outlineLvl w:val="0"/>
        <w:rPr>
          <w:rFonts w:ascii="Times New Roman" w:eastAsia="Times New Roman" w:hAnsi="Times New Roman" w:cs="Times New Roman"/>
          <w:b/>
          <w:sz w:val="24"/>
          <w:szCs w:val="24"/>
          <w:highlight w:val="white"/>
        </w:rPr>
      </w:pPr>
      <w:r w:rsidRPr="00541803">
        <w:rPr>
          <w:rFonts w:ascii="Times New Roman" w:eastAsia="Times New Roman" w:hAnsi="Times New Roman" w:cs="Times New Roman"/>
          <w:b/>
          <w:sz w:val="24"/>
          <w:szCs w:val="24"/>
          <w:highlight w:val="white"/>
        </w:rPr>
        <w:t>Supplementary Materials</w:t>
      </w:r>
    </w:p>
    <w:p w14:paraId="77903C96" w14:textId="77777777" w:rsidR="001D6981" w:rsidRPr="00541803" w:rsidRDefault="004F2E8C">
      <w:pPr>
        <w:pStyle w:val="Normal1"/>
        <w:spacing w:after="200"/>
        <w:ind w:firstLine="720"/>
        <w:jc w:val="both"/>
        <w:rPr>
          <w:rFonts w:ascii="Times New Roman" w:eastAsia="Times New Roman" w:hAnsi="Times New Roman" w:cs="Times New Roman"/>
          <w:sz w:val="24"/>
          <w:szCs w:val="24"/>
          <w:highlight w:val="white"/>
        </w:rPr>
      </w:pPr>
      <w:r w:rsidRPr="00541803">
        <w:rPr>
          <w:rFonts w:ascii="Times New Roman" w:eastAsia="Times New Roman" w:hAnsi="Times New Roman" w:cs="Times New Roman"/>
          <w:sz w:val="24"/>
          <w:szCs w:val="24"/>
          <w:highlight w:val="white"/>
        </w:rPr>
        <w:t>Below we describe details of our methods and results not reported in the main text. Unless otherwise noted below, all simulations followed the methods described in the text.</w:t>
      </w:r>
    </w:p>
    <w:p w14:paraId="73713502" w14:textId="77777777" w:rsidR="001D6981" w:rsidRPr="00541803" w:rsidRDefault="004F2E8C" w:rsidP="004C5927">
      <w:pPr>
        <w:pStyle w:val="Normal1"/>
        <w:spacing w:after="200"/>
        <w:jc w:val="both"/>
        <w:outlineLvl w:val="0"/>
        <w:rPr>
          <w:rFonts w:ascii="Times New Roman" w:eastAsia="Times New Roman" w:hAnsi="Times New Roman" w:cs="Times New Roman"/>
          <w:b/>
          <w:sz w:val="24"/>
          <w:szCs w:val="24"/>
          <w:highlight w:val="white"/>
        </w:rPr>
      </w:pPr>
      <w:r w:rsidRPr="00541803">
        <w:rPr>
          <w:rFonts w:ascii="Times New Roman" w:eastAsia="Times New Roman" w:hAnsi="Times New Roman" w:cs="Times New Roman"/>
          <w:b/>
          <w:sz w:val="24"/>
          <w:szCs w:val="24"/>
          <w:highlight w:val="white"/>
        </w:rPr>
        <w:t>Methods</w:t>
      </w:r>
    </w:p>
    <w:p w14:paraId="590B8AEE" w14:textId="77777777" w:rsidR="001D6981" w:rsidRPr="00541803" w:rsidRDefault="004F2E8C" w:rsidP="004C5927">
      <w:pPr>
        <w:pStyle w:val="Normal1"/>
        <w:spacing w:after="200"/>
        <w:jc w:val="both"/>
        <w:outlineLvl w:val="0"/>
        <w:rPr>
          <w:rFonts w:ascii="Times New Roman" w:hAnsi="Times New Roman" w:cs="Times New Roman"/>
          <w:sz w:val="24"/>
          <w:szCs w:val="24"/>
        </w:rPr>
      </w:pPr>
      <w:r w:rsidRPr="00541803">
        <w:rPr>
          <w:rFonts w:ascii="Times New Roman" w:eastAsia="Times New Roman" w:hAnsi="Times New Roman" w:cs="Times New Roman"/>
          <w:i/>
          <w:sz w:val="24"/>
          <w:szCs w:val="24"/>
          <w:highlight w:val="white"/>
        </w:rPr>
        <w:t>Building two populations of “subjects”</w:t>
      </w:r>
    </w:p>
    <w:p w14:paraId="2ADDBA62" w14:textId="77777777" w:rsidR="001D6981" w:rsidRPr="00541803" w:rsidRDefault="004F2E8C">
      <w:pPr>
        <w:pStyle w:val="Normal1"/>
        <w:spacing w:after="200"/>
        <w:ind w:firstLine="720"/>
        <w:jc w:val="both"/>
        <w:rPr>
          <w:rFonts w:ascii="Times New Roman" w:eastAsia="Times New Roman" w:hAnsi="Times New Roman" w:cs="Times New Roman"/>
          <w:sz w:val="24"/>
          <w:szCs w:val="24"/>
          <w:highlight w:val="white"/>
        </w:rPr>
      </w:pPr>
      <w:r w:rsidRPr="00541803">
        <w:rPr>
          <w:rFonts w:ascii="Times New Roman" w:eastAsia="Times New Roman" w:hAnsi="Times New Roman" w:cs="Times New Roman"/>
          <w:sz w:val="24"/>
          <w:szCs w:val="24"/>
          <w:highlight w:val="white"/>
        </w:rPr>
        <w:t>Across all simulated subjects, we set d’</w:t>
      </w:r>
      <w:r w:rsidRPr="00541803">
        <w:rPr>
          <w:rFonts w:ascii="Times New Roman" w:eastAsia="Times New Roman" w:hAnsi="Times New Roman" w:cs="Times New Roman"/>
          <w:i/>
          <w:sz w:val="24"/>
          <w:szCs w:val="24"/>
          <w:highlight w:val="white"/>
        </w:rPr>
        <w:t xml:space="preserve"> ~ </w:t>
      </w:r>
      <w:proofErr w:type="gramStart"/>
      <w:r w:rsidRPr="00541803">
        <w:rPr>
          <w:rFonts w:ascii="Times New Roman" w:eastAsia="Times New Roman" w:hAnsi="Times New Roman" w:cs="Times New Roman"/>
          <w:i/>
          <w:sz w:val="24"/>
          <w:szCs w:val="24"/>
          <w:highlight w:val="white"/>
        </w:rPr>
        <w:t>N(</w:t>
      </w:r>
      <w:proofErr w:type="spellStart"/>
      <w:proofErr w:type="gramEnd"/>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d</w:t>
      </w:r>
      <w:proofErr w:type="spellEnd"/>
      <w:r w:rsidRPr="00541803">
        <w:rPr>
          <w:rFonts w:ascii="Times New Roman" w:eastAsia="Times New Roman" w:hAnsi="Times New Roman" w:cs="Times New Roman"/>
          <w:i/>
          <w:sz w:val="24"/>
          <w:szCs w:val="24"/>
          <w:highlight w:val="white"/>
          <w:vertAlign w:val="subscript"/>
        </w:rPr>
        <w:t>’</w:t>
      </w:r>
      <w:r w:rsidRPr="00541803">
        <w:rPr>
          <w:rFonts w:ascii="Times New Roman" w:eastAsia="Times New Roman" w:hAnsi="Times New Roman" w:cs="Times New Roman"/>
          <w:i/>
          <w:sz w:val="24"/>
          <w:szCs w:val="24"/>
          <w:highlight w:val="white"/>
        </w:rPr>
        <w:t xml:space="preserve">, </w:t>
      </w:r>
      <w:proofErr w:type="spellStart"/>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d</w:t>
      </w:r>
      <w:proofErr w:type="spellEnd"/>
      <w:r w:rsidRPr="00541803">
        <w:rPr>
          <w:rFonts w:ascii="Times New Roman" w:eastAsia="Times New Roman" w:hAnsi="Times New Roman" w:cs="Times New Roman"/>
          <w:i/>
          <w:sz w:val="24"/>
          <w:szCs w:val="24"/>
          <w:highlight w:val="white"/>
          <w:vertAlign w:val="subscript"/>
        </w:rPr>
        <w:t>’</w:t>
      </w:r>
      <w:r w:rsidRPr="00541803">
        <w:rPr>
          <w:rFonts w:ascii="Times New Roman" w:eastAsia="Times New Roman" w:hAnsi="Times New Roman" w:cs="Times New Roman"/>
          <w:i/>
          <w:sz w:val="24"/>
          <w:szCs w:val="24"/>
          <w:highlight w:val="white"/>
        </w:rPr>
        <w:t>)</w:t>
      </w:r>
      <w:r w:rsidRPr="00541803">
        <w:rPr>
          <w:rFonts w:ascii="Times New Roman" w:eastAsia="Times New Roman" w:hAnsi="Times New Roman" w:cs="Times New Roman"/>
          <w:sz w:val="24"/>
          <w:szCs w:val="24"/>
          <w:highlight w:val="white"/>
        </w:rPr>
        <w:t xml:space="preserve"> and </w:t>
      </w:r>
      <w:r w:rsidRPr="00541803">
        <w:rPr>
          <w:rFonts w:ascii="Times New Roman" w:eastAsia="Times New Roman" w:hAnsi="Times New Roman" w:cs="Times New Roman"/>
          <w:i/>
          <w:sz w:val="24"/>
          <w:szCs w:val="24"/>
          <w:highlight w:val="white"/>
        </w:rPr>
        <w:t>c</w:t>
      </w:r>
      <w:r w:rsidRPr="00541803">
        <w:rPr>
          <w:rFonts w:ascii="Times New Roman" w:eastAsia="Times New Roman" w:hAnsi="Times New Roman" w:cs="Times New Roman"/>
          <w:i/>
          <w:sz w:val="24"/>
          <w:szCs w:val="24"/>
          <w:highlight w:val="white"/>
          <w:vertAlign w:val="subscript"/>
        </w:rPr>
        <w:t>1</w:t>
      </w:r>
      <w:r w:rsidRPr="00541803">
        <w:rPr>
          <w:rFonts w:ascii="Times New Roman" w:eastAsia="Times New Roman" w:hAnsi="Times New Roman" w:cs="Times New Roman"/>
          <w:i/>
          <w:sz w:val="24"/>
          <w:szCs w:val="24"/>
          <w:highlight w:val="white"/>
        </w:rPr>
        <w:t xml:space="preserve"> ~ N(μ</w:t>
      </w:r>
      <w:r w:rsidRPr="00541803">
        <w:rPr>
          <w:rFonts w:ascii="Times New Roman" w:eastAsia="Times New Roman" w:hAnsi="Times New Roman" w:cs="Times New Roman"/>
          <w:i/>
          <w:sz w:val="24"/>
          <w:szCs w:val="24"/>
          <w:highlight w:val="white"/>
          <w:vertAlign w:val="subscript"/>
        </w:rPr>
        <w:t>c1</w:t>
      </w:r>
      <w:r w:rsidRPr="00541803">
        <w:rPr>
          <w:rFonts w:ascii="Times New Roman" w:eastAsia="Times New Roman" w:hAnsi="Times New Roman" w:cs="Times New Roman"/>
          <w:i/>
          <w:sz w:val="24"/>
          <w:szCs w:val="24"/>
          <w:highlight w:val="white"/>
        </w:rPr>
        <w:t>, σ</w:t>
      </w:r>
      <w:r w:rsidRPr="00541803">
        <w:rPr>
          <w:rFonts w:ascii="Times New Roman" w:eastAsia="Times New Roman" w:hAnsi="Times New Roman" w:cs="Times New Roman"/>
          <w:i/>
          <w:sz w:val="24"/>
          <w:szCs w:val="24"/>
          <w:highlight w:val="white"/>
          <w:vertAlign w:val="subscript"/>
        </w:rPr>
        <w:t>c1</w:t>
      </w:r>
      <w:r w:rsidRPr="00541803">
        <w:rPr>
          <w:rFonts w:ascii="Times New Roman" w:eastAsia="Times New Roman" w:hAnsi="Times New Roman" w:cs="Times New Roman"/>
          <w:i/>
          <w:sz w:val="24"/>
          <w:szCs w:val="24"/>
          <w:highlight w:val="white"/>
        </w:rPr>
        <w:t>)</w:t>
      </w:r>
      <w:r w:rsidRPr="00541803">
        <w:rPr>
          <w:rFonts w:ascii="Times New Roman" w:eastAsia="Times New Roman" w:hAnsi="Times New Roman" w:cs="Times New Roman"/>
          <w:sz w:val="24"/>
          <w:szCs w:val="24"/>
          <w:highlight w:val="white"/>
        </w:rPr>
        <w:t xml:space="preserve">, with parameters defined by the mean and standard deviation of subjects’ behavior in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al.’s (2010) “pre-real TMS” condition (</w:t>
      </w:r>
      <w:proofErr w:type="spellStart"/>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d</w:t>
      </w:r>
      <w:proofErr w:type="spellEnd"/>
      <w:r w:rsidRPr="00541803">
        <w:rPr>
          <w:rFonts w:ascii="Times New Roman" w:eastAsia="Times New Roman" w:hAnsi="Times New Roman" w:cs="Times New Roman"/>
          <w:i/>
          <w:sz w:val="24"/>
          <w:szCs w:val="24"/>
          <w:highlight w:val="white"/>
          <w:vertAlign w:val="subscript"/>
        </w:rPr>
        <w:t>’</w:t>
      </w:r>
      <w:r w:rsidRPr="00541803">
        <w:rPr>
          <w:rFonts w:ascii="Times New Roman" w:eastAsia="Times New Roman" w:hAnsi="Times New Roman" w:cs="Times New Roman"/>
          <w:sz w:val="24"/>
          <w:szCs w:val="24"/>
          <w:highlight w:val="white"/>
        </w:rPr>
        <w:t xml:space="preserve"> = 1.669, </w:t>
      </w:r>
      <w:proofErr w:type="spellStart"/>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d</w:t>
      </w:r>
      <w:proofErr w:type="spellEnd"/>
      <w:r w:rsidRPr="00541803">
        <w:rPr>
          <w:rFonts w:ascii="Times New Roman" w:eastAsia="Times New Roman" w:hAnsi="Times New Roman" w:cs="Times New Roman"/>
          <w:i/>
          <w:sz w:val="24"/>
          <w:szCs w:val="24"/>
          <w:highlight w:val="white"/>
          <w:vertAlign w:val="subscript"/>
        </w:rPr>
        <w:t>’</w:t>
      </w:r>
      <w:r w:rsidRPr="00541803">
        <w:rPr>
          <w:rFonts w:ascii="Times New Roman" w:eastAsia="Times New Roman" w:hAnsi="Times New Roman" w:cs="Times New Roman"/>
          <w:sz w:val="24"/>
          <w:szCs w:val="24"/>
          <w:highlight w:val="white"/>
        </w:rPr>
        <w:t xml:space="preserve"> = 0.550;</w:t>
      </w:r>
      <w:r w:rsidRPr="00541803">
        <w:rPr>
          <w:rFonts w:ascii="Times New Roman" w:eastAsia="Times New Roman" w:hAnsi="Times New Roman" w:cs="Times New Roman"/>
          <w:i/>
          <w:sz w:val="24"/>
          <w:szCs w:val="24"/>
          <w:highlight w:val="white"/>
        </w:rPr>
        <w:t xml:space="preserve"> μ</w:t>
      </w:r>
      <w:r w:rsidRPr="00541803">
        <w:rPr>
          <w:rFonts w:ascii="Times New Roman" w:eastAsia="Times New Roman" w:hAnsi="Times New Roman" w:cs="Times New Roman"/>
          <w:i/>
          <w:sz w:val="24"/>
          <w:szCs w:val="24"/>
          <w:highlight w:val="white"/>
          <w:vertAlign w:val="subscript"/>
        </w:rPr>
        <w:t>c1</w:t>
      </w:r>
      <w:r w:rsidRPr="00541803">
        <w:rPr>
          <w:rFonts w:ascii="Times New Roman" w:eastAsia="Times New Roman" w:hAnsi="Times New Roman" w:cs="Times New Roman"/>
          <w:sz w:val="24"/>
          <w:szCs w:val="24"/>
          <w:highlight w:val="white"/>
        </w:rPr>
        <w:t xml:space="preserve"> = -.195, </w:t>
      </w:r>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c1</w:t>
      </w:r>
      <w:r w:rsidRPr="00541803">
        <w:rPr>
          <w:rFonts w:ascii="Times New Roman" w:eastAsia="Times New Roman" w:hAnsi="Times New Roman" w:cs="Times New Roman"/>
          <w:i/>
          <w:sz w:val="24"/>
          <w:szCs w:val="24"/>
          <w:highlight w:val="white"/>
        </w:rPr>
        <w:t xml:space="preserve"> </w:t>
      </w:r>
      <w:r w:rsidRPr="00541803">
        <w:rPr>
          <w:rFonts w:ascii="Times New Roman" w:eastAsia="Times New Roman" w:hAnsi="Times New Roman" w:cs="Times New Roman"/>
          <w:sz w:val="24"/>
          <w:szCs w:val="24"/>
          <w:highlight w:val="white"/>
        </w:rPr>
        <w:t xml:space="preserve">= .276). Similarly, we set </w:t>
      </w:r>
      <w:r w:rsidRPr="00541803">
        <w:rPr>
          <w:rFonts w:ascii="Times New Roman" w:eastAsia="Times New Roman" w:hAnsi="Times New Roman" w:cs="Times New Roman"/>
          <w:i/>
          <w:sz w:val="24"/>
          <w:szCs w:val="24"/>
          <w:highlight w:val="white"/>
        </w:rPr>
        <w:t>c</w:t>
      </w:r>
      <w:proofErr w:type="gramStart"/>
      <w:r w:rsidRPr="00541803">
        <w:rPr>
          <w:rFonts w:ascii="Times New Roman" w:eastAsia="Times New Roman" w:hAnsi="Times New Roman" w:cs="Times New Roman"/>
          <w:i/>
          <w:sz w:val="24"/>
          <w:szCs w:val="24"/>
          <w:highlight w:val="white"/>
          <w:vertAlign w:val="subscript"/>
        </w:rPr>
        <w:t>2</w:t>
      </w:r>
      <w:r w:rsidRPr="00541803">
        <w:rPr>
          <w:rFonts w:ascii="Times New Roman" w:eastAsia="Times New Roman" w:hAnsi="Times New Roman" w:cs="Times New Roman"/>
          <w:sz w:val="24"/>
          <w:szCs w:val="24"/>
          <w:highlight w:val="white"/>
          <w:vertAlign w:val="subscript"/>
        </w:rPr>
        <w:t xml:space="preserve">  </w:t>
      </w:r>
      <w:r w:rsidRPr="00541803">
        <w:rPr>
          <w:rFonts w:ascii="Times New Roman" w:eastAsia="Times New Roman" w:hAnsi="Times New Roman" w:cs="Times New Roman"/>
          <w:sz w:val="24"/>
          <w:szCs w:val="24"/>
          <w:highlight w:val="white"/>
        </w:rPr>
        <w:t>~</w:t>
      </w:r>
      <w:proofErr w:type="gramEnd"/>
      <w:r w:rsidRPr="00541803">
        <w:rPr>
          <w:rFonts w:ascii="Times New Roman" w:eastAsia="Times New Roman" w:hAnsi="Times New Roman" w:cs="Times New Roman"/>
          <w:sz w:val="24"/>
          <w:szCs w:val="24"/>
          <w:highlight w:val="white"/>
        </w:rPr>
        <w:t xml:space="preserve"> </w:t>
      </w:r>
      <w:r w:rsidRPr="00541803">
        <w:rPr>
          <w:rFonts w:ascii="Times New Roman" w:eastAsia="Times New Roman" w:hAnsi="Times New Roman" w:cs="Times New Roman"/>
          <w:i/>
          <w:sz w:val="24"/>
          <w:szCs w:val="24"/>
          <w:highlight w:val="white"/>
        </w:rPr>
        <w:t>N(μ</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i/>
          <w:sz w:val="24"/>
          <w:szCs w:val="24"/>
          <w:highlight w:val="white"/>
        </w:rPr>
        <w:t>, σ</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i/>
          <w:sz w:val="24"/>
          <w:szCs w:val="24"/>
          <w:highlight w:val="white"/>
        </w:rPr>
        <w:t>)</w:t>
      </w:r>
      <w:r w:rsidRPr="00541803">
        <w:rPr>
          <w:rFonts w:ascii="Times New Roman" w:eastAsia="Times New Roman" w:hAnsi="Times New Roman" w:cs="Times New Roman"/>
          <w:sz w:val="24"/>
          <w:szCs w:val="24"/>
          <w:highlight w:val="white"/>
        </w:rPr>
        <w:t>, with estimated values for the pre-real-TMS condition (</w:t>
      </w:r>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sz w:val="24"/>
          <w:szCs w:val="24"/>
          <w:highlight w:val="white"/>
        </w:rPr>
        <w:t xml:space="preserve"> = -1.011, </w:t>
      </w:r>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i/>
          <w:sz w:val="24"/>
          <w:szCs w:val="24"/>
          <w:highlight w:val="white"/>
        </w:rPr>
        <w:t xml:space="preserve"> </w:t>
      </w:r>
      <w:r w:rsidRPr="00541803">
        <w:rPr>
          <w:rFonts w:ascii="Times New Roman" w:eastAsia="Times New Roman" w:hAnsi="Times New Roman" w:cs="Times New Roman"/>
          <w:sz w:val="24"/>
          <w:szCs w:val="24"/>
          <w:highlight w:val="white"/>
        </w:rPr>
        <w:t xml:space="preserve">= 0.536, </w:t>
      </w:r>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sz w:val="24"/>
          <w:szCs w:val="24"/>
          <w:highlight w:val="white"/>
        </w:rPr>
        <w:t xml:space="preserve"> = 0.736, </w:t>
      </w:r>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i/>
          <w:sz w:val="24"/>
          <w:szCs w:val="24"/>
          <w:highlight w:val="white"/>
        </w:rPr>
        <w:t xml:space="preserve"> </w:t>
      </w:r>
      <w:r w:rsidRPr="00541803">
        <w:rPr>
          <w:rFonts w:ascii="Times New Roman" w:eastAsia="Times New Roman" w:hAnsi="Times New Roman" w:cs="Times New Roman"/>
          <w:sz w:val="24"/>
          <w:szCs w:val="24"/>
          <w:highlight w:val="white"/>
        </w:rPr>
        <w:t>= 0.599) and post-real-TMS condition (</w:t>
      </w:r>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sz w:val="24"/>
          <w:szCs w:val="24"/>
          <w:highlight w:val="white"/>
        </w:rPr>
        <w:t xml:space="preserve"> = -1.135, </w:t>
      </w:r>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i/>
          <w:sz w:val="24"/>
          <w:szCs w:val="24"/>
          <w:highlight w:val="white"/>
        </w:rPr>
        <w:t xml:space="preserve"> </w:t>
      </w:r>
      <w:r w:rsidRPr="00541803">
        <w:rPr>
          <w:rFonts w:ascii="Times New Roman" w:eastAsia="Times New Roman" w:hAnsi="Times New Roman" w:cs="Times New Roman"/>
          <w:sz w:val="24"/>
          <w:szCs w:val="24"/>
          <w:highlight w:val="white"/>
        </w:rPr>
        <w:t xml:space="preserve">= 0.652, </w:t>
      </w:r>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sz w:val="24"/>
          <w:szCs w:val="24"/>
          <w:highlight w:val="white"/>
        </w:rPr>
        <w:t xml:space="preserve"> = 0.976, </w:t>
      </w:r>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c2</w:t>
      </w:r>
      <w:r w:rsidRPr="00541803">
        <w:rPr>
          <w:rFonts w:ascii="Times New Roman" w:eastAsia="Times New Roman" w:hAnsi="Times New Roman" w:cs="Times New Roman"/>
          <w:i/>
          <w:sz w:val="24"/>
          <w:szCs w:val="24"/>
          <w:highlight w:val="white"/>
        </w:rPr>
        <w:t xml:space="preserve"> </w:t>
      </w:r>
      <w:r w:rsidRPr="00541803">
        <w:rPr>
          <w:rFonts w:ascii="Times New Roman" w:eastAsia="Times New Roman" w:hAnsi="Times New Roman" w:cs="Times New Roman"/>
          <w:sz w:val="24"/>
          <w:szCs w:val="24"/>
          <w:highlight w:val="white"/>
        </w:rPr>
        <w:t xml:space="preserve">= 0.613) based on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 To estimate these </w:t>
      </w:r>
      <w:r w:rsidRPr="00541803">
        <w:rPr>
          <w:rFonts w:ascii="Times New Roman" w:eastAsia="Times New Roman" w:hAnsi="Times New Roman" w:cs="Times New Roman"/>
          <w:i/>
          <w:sz w:val="24"/>
          <w:szCs w:val="24"/>
          <w:highlight w:val="white"/>
        </w:rPr>
        <w:t>c</w:t>
      </w:r>
      <w:r w:rsidRPr="00541803">
        <w:rPr>
          <w:rFonts w:ascii="Times New Roman" w:eastAsia="Times New Roman" w:hAnsi="Times New Roman" w:cs="Times New Roman"/>
          <w:i/>
          <w:sz w:val="24"/>
          <w:szCs w:val="24"/>
          <w:highlight w:val="white"/>
          <w:vertAlign w:val="subscript"/>
        </w:rPr>
        <w:t xml:space="preserve">2 </w:t>
      </w:r>
      <w:r w:rsidRPr="00541803">
        <w:rPr>
          <w:rFonts w:ascii="Times New Roman" w:eastAsia="Times New Roman" w:hAnsi="Times New Roman" w:cs="Times New Roman"/>
          <w:sz w:val="24"/>
          <w:szCs w:val="24"/>
          <w:highlight w:val="white"/>
        </w:rPr>
        <w:t xml:space="preserve">values, for every human subject in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 (2010) we simulated 300 trials of the spatial 2AFC task (described in the main text) for both the pre-real- and post-real-TMS conditions; for each of these two simulated conditions we swept through possible </w:t>
      </w:r>
      <w:r w:rsidRPr="00541803">
        <w:rPr>
          <w:rFonts w:ascii="Times New Roman" w:hAnsi="Times New Roman" w:cs="Times New Roman"/>
          <w:sz w:val="24"/>
          <w:szCs w:val="24"/>
        </w:rPr>
        <w:t>±</w:t>
      </w:r>
      <w:r w:rsidRPr="00541803">
        <w:rPr>
          <w:rFonts w:ascii="Times New Roman" w:eastAsia="Times New Roman" w:hAnsi="Times New Roman" w:cs="Times New Roman"/>
          <w:i/>
          <w:sz w:val="24"/>
          <w:szCs w:val="24"/>
          <w:highlight w:val="white"/>
        </w:rPr>
        <w:t>c</w:t>
      </w:r>
      <w:r w:rsidRPr="00541803">
        <w:rPr>
          <w:rFonts w:ascii="Times New Roman" w:eastAsia="Times New Roman" w:hAnsi="Times New Roman" w:cs="Times New Roman"/>
          <w:i/>
          <w:sz w:val="24"/>
          <w:szCs w:val="24"/>
          <w:highlight w:val="white"/>
          <w:vertAlign w:val="subscript"/>
        </w:rPr>
        <w:t>2</w:t>
      </w:r>
      <w:r w:rsidRPr="00541803">
        <w:rPr>
          <w:rFonts w:ascii="Times New Roman" w:eastAsia="Times New Roman" w:hAnsi="Times New Roman" w:cs="Times New Roman"/>
          <w:sz w:val="24"/>
          <w:szCs w:val="24"/>
          <w:highlight w:val="white"/>
        </w:rPr>
        <w:t xml:space="preserve"> criteria values from 0 to 5 in steps of 0.001 until the proportion of “clear” versus “unclear” responses of each type (</w:t>
      </w:r>
      <w:r w:rsidRPr="00541803">
        <w:rPr>
          <w:rFonts w:ascii="AppleMyungjo" w:eastAsia="AppleMyungjo" w:hAnsi="AppleMyungjo" w:cs="AppleMyungjo" w:hint="eastAsia"/>
          <w:sz w:val="24"/>
          <w:szCs w:val="24"/>
        </w:rPr>
        <w:t>◼</w:t>
      </w:r>
      <w:r w:rsidRPr="00541803">
        <w:rPr>
          <w:rFonts w:ascii="Big Caslon" w:eastAsia="AppleMyungjo" w:hAnsi="Big Caslon" w:cs="Big Caslon"/>
          <w:sz w:val="24"/>
          <w:szCs w:val="24"/>
        </w:rPr>
        <w:t>◆</w:t>
      </w:r>
      <w:r w:rsidRPr="00541803">
        <w:rPr>
          <w:rFonts w:ascii="Times New Roman" w:eastAsia="Times New Roman" w:hAnsi="Times New Roman" w:cs="Times New Roman"/>
          <w:sz w:val="24"/>
          <w:szCs w:val="24"/>
        </w:rPr>
        <w:t xml:space="preserve"> or </w:t>
      </w:r>
      <w:r w:rsidRPr="00541803">
        <w:rPr>
          <w:rFonts w:ascii="Big Caslon" w:eastAsia="AppleMyungjo" w:hAnsi="Big Caslon" w:cs="Big Caslon"/>
          <w:sz w:val="24"/>
          <w:szCs w:val="24"/>
        </w:rPr>
        <w:t>◆</w:t>
      </w:r>
      <w:r w:rsidRPr="00541803">
        <w:rPr>
          <w:rFonts w:ascii="Times New Roman" w:eastAsia="Times New Roman" w:hAnsi="Times New Roman" w:cs="Times New Roman"/>
          <w:sz w:val="24"/>
          <w:szCs w:val="24"/>
        </w:rPr>
        <w:t>◼</w:t>
      </w:r>
      <w:r w:rsidRPr="00541803">
        <w:rPr>
          <w:rFonts w:ascii="Times New Roman" w:eastAsia="Times New Roman" w:hAnsi="Times New Roman" w:cs="Times New Roman"/>
          <w:sz w:val="24"/>
          <w:szCs w:val="24"/>
          <w:highlight w:val="white"/>
        </w:rPr>
        <w:t xml:space="preserve">) matched that given by the human subject. Across all simulated subjects </w:t>
      </w:r>
      <w:proofErr w:type="spellStart"/>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TMS</w:t>
      </w:r>
      <w:proofErr w:type="spellEnd"/>
      <w:r w:rsidRPr="00541803">
        <w:rPr>
          <w:rFonts w:ascii="Times New Roman" w:eastAsia="Times New Roman" w:hAnsi="Times New Roman" w:cs="Times New Roman"/>
          <w:i/>
          <w:sz w:val="24"/>
          <w:szCs w:val="24"/>
          <w:highlight w:val="white"/>
        </w:rPr>
        <w:t xml:space="preserve"> ~ </w:t>
      </w:r>
      <w:proofErr w:type="gramStart"/>
      <w:r w:rsidRPr="00541803">
        <w:rPr>
          <w:rFonts w:ascii="Times New Roman" w:eastAsia="Times New Roman" w:hAnsi="Times New Roman" w:cs="Times New Roman"/>
          <w:i/>
          <w:sz w:val="24"/>
          <w:szCs w:val="24"/>
          <w:highlight w:val="white"/>
        </w:rPr>
        <w:t>N(</w:t>
      </w:r>
      <w:proofErr w:type="spellStart"/>
      <w:proofErr w:type="gramEnd"/>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TMS</w:t>
      </w:r>
      <w:proofErr w:type="spellEnd"/>
      <w:r w:rsidRPr="00541803">
        <w:rPr>
          <w:rFonts w:ascii="Times New Roman" w:eastAsia="Times New Roman" w:hAnsi="Times New Roman" w:cs="Times New Roman"/>
          <w:i/>
          <w:sz w:val="24"/>
          <w:szCs w:val="24"/>
          <w:highlight w:val="white"/>
        </w:rPr>
        <w:t>, Σ</w:t>
      </w:r>
      <w:r w:rsidRPr="00541803">
        <w:rPr>
          <w:rFonts w:ascii="Times New Roman" w:eastAsia="Times New Roman" w:hAnsi="Times New Roman" w:cs="Times New Roman"/>
          <w:i/>
          <w:sz w:val="24"/>
          <w:szCs w:val="24"/>
          <w:highlight w:val="white"/>
          <w:vertAlign w:val="subscript"/>
        </w:rPr>
        <w:t>TMS</w:t>
      </w:r>
      <w:r w:rsidRPr="00541803">
        <w:rPr>
          <w:rFonts w:ascii="Times New Roman" w:eastAsia="Times New Roman" w:hAnsi="Times New Roman" w:cs="Times New Roman"/>
          <w:i/>
          <w:sz w:val="24"/>
          <w:szCs w:val="24"/>
          <w:highlight w:val="white"/>
        </w:rPr>
        <w:t>)</w:t>
      </w:r>
      <w:r w:rsidRPr="00541803">
        <w:rPr>
          <w:rFonts w:ascii="Times New Roman" w:eastAsia="Times New Roman" w:hAnsi="Times New Roman" w:cs="Times New Roman"/>
          <w:sz w:val="24"/>
          <w:szCs w:val="24"/>
          <w:highlight w:val="white"/>
        </w:rPr>
        <w:t xml:space="preserve">, with this parameter based on the distribution of reductions in metacognitive sensitivity in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al.’s “post-real TMS” condition compared with their “pre-real TMS” condition (</w:t>
      </w:r>
      <w:proofErr w:type="spellStart"/>
      <w:r w:rsidRPr="00541803">
        <w:rPr>
          <w:rFonts w:ascii="Times New Roman" w:eastAsia="Times New Roman" w:hAnsi="Times New Roman" w:cs="Times New Roman"/>
          <w:i/>
          <w:sz w:val="24"/>
          <w:szCs w:val="24"/>
          <w:highlight w:val="white"/>
        </w:rPr>
        <w:t>μ</w:t>
      </w:r>
      <w:r w:rsidRPr="00541803">
        <w:rPr>
          <w:rFonts w:ascii="Times New Roman" w:eastAsia="Times New Roman" w:hAnsi="Times New Roman" w:cs="Times New Roman"/>
          <w:i/>
          <w:sz w:val="24"/>
          <w:szCs w:val="24"/>
          <w:highlight w:val="white"/>
          <w:vertAlign w:val="subscript"/>
        </w:rPr>
        <w:t>TMS</w:t>
      </w:r>
      <w:proofErr w:type="spellEnd"/>
      <w:r w:rsidRPr="00541803">
        <w:rPr>
          <w:rFonts w:ascii="Times New Roman" w:eastAsia="Times New Roman" w:hAnsi="Times New Roman" w:cs="Times New Roman"/>
          <w:sz w:val="24"/>
          <w:szCs w:val="24"/>
          <w:highlight w:val="white"/>
        </w:rPr>
        <w:t xml:space="preserve"> = 0.6325, </w:t>
      </w:r>
      <w:r w:rsidRPr="00541803">
        <w:rPr>
          <w:rFonts w:ascii="Times New Roman" w:eastAsia="Times New Roman" w:hAnsi="Times New Roman" w:cs="Times New Roman"/>
          <w:i/>
          <w:sz w:val="24"/>
          <w:szCs w:val="24"/>
          <w:highlight w:val="white"/>
        </w:rPr>
        <w:t>Σ</w:t>
      </w:r>
      <w:r w:rsidRPr="00541803">
        <w:rPr>
          <w:rFonts w:ascii="Times New Roman" w:eastAsia="Times New Roman" w:hAnsi="Times New Roman" w:cs="Times New Roman"/>
          <w:i/>
          <w:sz w:val="24"/>
          <w:szCs w:val="24"/>
          <w:highlight w:val="white"/>
          <w:vertAlign w:val="subscript"/>
        </w:rPr>
        <w:t>TMS</w:t>
      </w:r>
      <w:r w:rsidRPr="00541803">
        <w:rPr>
          <w:rFonts w:ascii="Times New Roman" w:eastAsia="Times New Roman" w:hAnsi="Times New Roman" w:cs="Times New Roman"/>
          <w:sz w:val="24"/>
          <w:szCs w:val="24"/>
          <w:highlight w:val="white"/>
        </w:rPr>
        <w:t xml:space="preserve"> = 0.15). </w:t>
      </w:r>
    </w:p>
    <w:p w14:paraId="174406FD" w14:textId="77777777" w:rsidR="001D6981" w:rsidRPr="00541803" w:rsidRDefault="004F2E8C" w:rsidP="004C5927">
      <w:pPr>
        <w:pStyle w:val="Normal1"/>
        <w:spacing w:after="200"/>
        <w:jc w:val="both"/>
        <w:outlineLvl w:val="0"/>
        <w:rPr>
          <w:rFonts w:ascii="Times New Roman" w:eastAsia="Times New Roman" w:hAnsi="Times New Roman" w:cs="Times New Roman"/>
          <w:i/>
          <w:sz w:val="24"/>
          <w:szCs w:val="24"/>
          <w:highlight w:val="white"/>
        </w:rPr>
      </w:pPr>
      <w:r w:rsidRPr="00541803">
        <w:rPr>
          <w:rFonts w:ascii="Times New Roman" w:eastAsia="Times New Roman" w:hAnsi="Times New Roman" w:cs="Times New Roman"/>
          <w:i/>
          <w:sz w:val="24"/>
          <w:szCs w:val="24"/>
          <w:highlight w:val="white"/>
        </w:rPr>
        <w:t>Simulating populations of subjects for three within-subjects simulations</w:t>
      </w:r>
    </w:p>
    <w:p w14:paraId="27CCD308" w14:textId="77777777" w:rsidR="001D6981" w:rsidRPr="00541803" w:rsidRDefault="004F2E8C">
      <w:pPr>
        <w:pStyle w:val="Normal1"/>
        <w:spacing w:after="200"/>
        <w:ind w:firstLine="720"/>
        <w:jc w:val="both"/>
        <w:rPr>
          <w:rFonts w:ascii="Times New Roman" w:eastAsia="Times New Roman" w:hAnsi="Times New Roman" w:cs="Times New Roman"/>
          <w:sz w:val="24"/>
          <w:szCs w:val="24"/>
          <w:highlight w:val="white"/>
        </w:rPr>
      </w:pPr>
      <w:r w:rsidRPr="00541803">
        <w:rPr>
          <w:rFonts w:ascii="Times New Roman" w:eastAsia="Times New Roman" w:hAnsi="Times New Roman" w:cs="Times New Roman"/>
          <w:sz w:val="24"/>
          <w:szCs w:val="24"/>
          <w:highlight w:val="white"/>
        </w:rPr>
        <w:t xml:space="preserve">Due to the differing structures of the between-subjects and double-repeat experiments of </w:t>
      </w:r>
      <w:proofErr w:type="spellStart"/>
      <w:r w:rsidRPr="00541803">
        <w:rPr>
          <w:rFonts w:ascii="Times New Roman" w:eastAsia="Times New Roman" w:hAnsi="Times New Roman" w:cs="Times New Roman"/>
          <w:sz w:val="24"/>
          <w:szCs w:val="24"/>
          <w:highlight w:val="white"/>
        </w:rPr>
        <w:t>Bor</w:t>
      </w:r>
      <w:proofErr w:type="spellEnd"/>
      <w:r w:rsidRPr="00541803">
        <w:rPr>
          <w:rFonts w:ascii="Times New Roman" w:eastAsia="Times New Roman" w:hAnsi="Times New Roman" w:cs="Times New Roman"/>
          <w:sz w:val="24"/>
          <w:szCs w:val="24"/>
          <w:highlight w:val="white"/>
        </w:rPr>
        <w:t xml:space="preserve"> et al. (2017) and the more conventional within-subject design of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 (2010), it was necessary to simulate separate populations of subjects for each experiment type. We therefore simulated an effect-present and effect-absent population separately for the double-repeat and within-subject designs, with 5,000 subjects completing all experimental conditions (Pre-Real TMS, Post-Real TMS, Pre-Sham TMS, Post-Sham TMS) in each population. The within-subject population was used to conduct two separate simulations using the sample sizes found in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 (n=20) and </w:t>
      </w:r>
      <w:proofErr w:type="spellStart"/>
      <w:r w:rsidRPr="00541803">
        <w:rPr>
          <w:rFonts w:ascii="Times New Roman" w:eastAsia="Times New Roman" w:hAnsi="Times New Roman" w:cs="Times New Roman"/>
          <w:sz w:val="24"/>
          <w:szCs w:val="24"/>
          <w:highlight w:val="white"/>
        </w:rPr>
        <w:t>Bor</w:t>
      </w:r>
      <w:proofErr w:type="spellEnd"/>
      <w:r w:rsidRPr="00541803">
        <w:rPr>
          <w:rFonts w:ascii="Times New Roman" w:eastAsia="Times New Roman" w:hAnsi="Times New Roman" w:cs="Times New Roman"/>
          <w:sz w:val="24"/>
          <w:szCs w:val="24"/>
          <w:highlight w:val="white"/>
        </w:rPr>
        <w:t xml:space="preserve"> et al. (n=27). To ensure that the effect on metacognitive sensitivity reported by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 (2010) was successfully recreated in the simulated effect-present populations but not in the effect-absent populations, for each within-subjects populations we compared the means for each condition and also ran a 2 x 2 within-subjects ANOVA on the metacognitive sensitivity values, with factors TMS type (Real TMS, Sham TMS) and time (Pre-TMS, Post-TMS). </w:t>
      </w:r>
    </w:p>
    <w:p w14:paraId="77C89971" w14:textId="3C1DDE26" w:rsidR="001D6981" w:rsidRPr="00541803" w:rsidRDefault="004F2E8C" w:rsidP="004C5927">
      <w:pPr>
        <w:pStyle w:val="Normal1"/>
        <w:spacing w:after="200"/>
        <w:jc w:val="both"/>
        <w:outlineLvl w:val="0"/>
        <w:rPr>
          <w:rFonts w:ascii="Times New Roman" w:eastAsia="Times New Roman" w:hAnsi="Times New Roman" w:cs="Times New Roman"/>
          <w:sz w:val="24"/>
          <w:szCs w:val="24"/>
          <w:highlight w:val="white"/>
          <w:u w:val="single"/>
        </w:rPr>
      </w:pPr>
      <w:r w:rsidRPr="00541803">
        <w:rPr>
          <w:rFonts w:ascii="Times New Roman" w:eastAsia="Times New Roman" w:hAnsi="Times New Roman" w:cs="Times New Roman"/>
          <w:sz w:val="24"/>
          <w:szCs w:val="24"/>
          <w:highlight w:val="white"/>
          <w:u w:val="single"/>
        </w:rPr>
        <w:t>Within-subjects simulation 1: double-repeat design (</w:t>
      </w:r>
      <w:proofErr w:type="spellStart"/>
      <w:r w:rsidRPr="00541803">
        <w:rPr>
          <w:rFonts w:ascii="Times New Roman" w:eastAsia="Times New Roman" w:hAnsi="Times New Roman" w:cs="Times New Roman"/>
          <w:sz w:val="24"/>
          <w:szCs w:val="24"/>
          <w:highlight w:val="white"/>
          <w:u w:val="single"/>
        </w:rPr>
        <w:t>Bor</w:t>
      </w:r>
      <w:proofErr w:type="spellEnd"/>
      <w:r w:rsidRPr="00541803">
        <w:rPr>
          <w:rFonts w:ascii="Times New Roman" w:eastAsia="Times New Roman" w:hAnsi="Times New Roman" w:cs="Times New Roman"/>
          <w:sz w:val="24"/>
          <w:szCs w:val="24"/>
          <w:highlight w:val="white"/>
          <w:u w:val="single"/>
        </w:rPr>
        <w:t xml:space="preserve"> et al., 2017, Experiment 2)</w:t>
      </w:r>
    </w:p>
    <w:p w14:paraId="65B38573" w14:textId="77777777" w:rsidR="001D6981" w:rsidRPr="00541803" w:rsidRDefault="004F2E8C">
      <w:pPr>
        <w:pStyle w:val="Normal1"/>
        <w:spacing w:after="200"/>
        <w:ind w:firstLine="720"/>
        <w:jc w:val="both"/>
        <w:rPr>
          <w:rFonts w:ascii="Times New Roman" w:eastAsia="Times New Roman" w:hAnsi="Times New Roman" w:cs="Times New Roman"/>
          <w:sz w:val="24"/>
          <w:szCs w:val="24"/>
          <w:highlight w:val="white"/>
        </w:rPr>
      </w:pPr>
      <w:r w:rsidRPr="00541803">
        <w:rPr>
          <w:rFonts w:ascii="Times New Roman" w:eastAsia="Times New Roman" w:hAnsi="Times New Roman" w:cs="Times New Roman"/>
          <w:sz w:val="24"/>
          <w:szCs w:val="24"/>
          <w:highlight w:val="white"/>
        </w:rPr>
        <w:t xml:space="preserve">In </w:t>
      </w:r>
      <w:proofErr w:type="spellStart"/>
      <w:r w:rsidRPr="00541803">
        <w:rPr>
          <w:rFonts w:ascii="Times New Roman" w:eastAsia="Times New Roman" w:hAnsi="Times New Roman" w:cs="Times New Roman"/>
          <w:sz w:val="24"/>
          <w:szCs w:val="24"/>
          <w:highlight w:val="white"/>
        </w:rPr>
        <w:t>Bor</w:t>
      </w:r>
      <w:proofErr w:type="spellEnd"/>
      <w:r w:rsidRPr="00541803">
        <w:rPr>
          <w:rFonts w:ascii="Times New Roman" w:eastAsia="Times New Roman" w:hAnsi="Times New Roman" w:cs="Times New Roman"/>
          <w:sz w:val="24"/>
          <w:szCs w:val="24"/>
          <w:highlight w:val="white"/>
        </w:rPr>
        <w:t xml:space="preserve"> et al.’s (2017) double-repeat within-subjects experiment (their Experiment 2), 27 human subjects completed up to four days of experimental manipulations. Subjects first went </w:t>
      </w:r>
      <w:r w:rsidRPr="00541803">
        <w:rPr>
          <w:rFonts w:ascii="Times New Roman" w:eastAsia="Times New Roman" w:hAnsi="Times New Roman" w:cs="Times New Roman"/>
          <w:sz w:val="24"/>
          <w:szCs w:val="24"/>
          <w:highlight w:val="white"/>
        </w:rPr>
        <w:lastRenderedPageBreak/>
        <w:t xml:space="preserve">through one session each of the Pre-Real- and Post-Real-TMS conditions (Day 1); if the absolute value of the difference of their meta d’ – d’ values for the two conditions was greater than .4, then they advanced to Day 2. Otherwise, they were excluded from the sample. On Day 2, subjects went through the Pre-Sham- and Post-Sham-TMS conditions; if the absolute value of the difference of their meta d’ – d’ values for the two conditions was less than .2, then they advanced to Day 3. Otherwise, they were excluded from the sample. Day 3 was identical to Day 1 and Day 4 was identical to Day 2. </w:t>
      </w:r>
    </w:p>
    <w:p w14:paraId="3313814B" w14:textId="597A15AE" w:rsidR="001D6981" w:rsidRPr="00541803" w:rsidRDefault="004F2E8C">
      <w:pPr>
        <w:pStyle w:val="Normal1"/>
        <w:spacing w:after="200"/>
        <w:ind w:firstLine="720"/>
        <w:jc w:val="both"/>
        <w:rPr>
          <w:rFonts w:ascii="Times New Roman" w:eastAsia="Times New Roman" w:hAnsi="Times New Roman" w:cs="Times New Roman"/>
          <w:color w:val="00796B"/>
          <w:sz w:val="24"/>
          <w:szCs w:val="24"/>
          <w:highlight w:val="white"/>
        </w:rPr>
      </w:pPr>
      <w:r w:rsidRPr="00541803">
        <w:rPr>
          <w:rFonts w:ascii="Times New Roman" w:eastAsia="Times New Roman" w:hAnsi="Times New Roman" w:cs="Times New Roman"/>
          <w:sz w:val="24"/>
          <w:szCs w:val="24"/>
          <w:highlight w:val="white"/>
        </w:rPr>
        <w:t xml:space="preserve">Based on this design, we executed 1,000 simulated experiments of 27 subjects each. Any subjects making it past </w:t>
      </w:r>
      <w:r w:rsidRPr="001A1328">
        <w:rPr>
          <w:rFonts w:ascii="Times New Roman" w:eastAsia="Times New Roman" w:hAnsi="Times New Roman" w:cs="Times New Roman"/>
          <w:color w:val="000000" w:themeColor="text1"/>
          <w:sz w:val="24"/>
          <w:szCs w:val="24"/>
          <w:highlight w:val="white"/>
        </w:rPr>
        <w:t>at least Day 2 were included in subsequent statistical analyses; otherwise they were not. For each simulated experiment in this and the other two within-subjects simulations (see below), we used the Shapiro-Wilk te</w:t>
      </w:r>
      <w:r w:rsidRPr="001A1328">
        <w:rPr>
          <w:rFonts w:ascii="Times New Roman" w:eastAsia="Times New Roman" w:hAnsi="Times New Roman" w:cs="Times New Roman"/>
          <w:color w:val="000000" w:themeColor="text1"/>
          <w:sz w:val="24"/>
          <w:szCs w:val="24"/>
        </w:rPr>
        <w:t xml:space="preserve">st (Shapiro &amp; Wilk, 1965) to check </w:t>
      </w:r>
      <w:r w:rsidRPr="001A1328">
        <w:rPr>
          <w:rFonts w:ascii="Times New Roman" w:eastAsia="Times New Roman" w:hAnsi="Times New Roman" w:cs="Times New Roman"/>
          <w:color w:val="000000" w:themeColor="text1"/>
          <w:sz w:val="24"/>
          <w:szCs w:val="24"/>
          <w:highlight w:val="white"/>
        </w:rPr>
        <w:t xml:space="preserve">for normality, first before and again after exclusion. For each normally distributed sample, we ran the standard (parametric) 2 x 2 within-subjects ANOVA on metacognitive sensitivity values, with factors TMS type (Real TMS, Sham TMS) and time (Pre-TMS, Post-TMS). For each sample that violated normality assumptions, we ran a permutation test to assess statistical significance, such that we permuted the sample 1,000 times </w:t>
      </w:r>
      <w:r w:rsidR="00A418AA" w:rsidRPr="001A1328">
        <w:rPr>
          <w:rFonts w:ascii="Times New Roman" w:eastAsia="Times New Roman" w:hAnsi="Times New Roman" w:cs="Times New Roman"/>
          <w:color w:val="000000" w:themeColor="text1"/>
          <w:sz w:val="24"/>
          <w:szCs w:val="24"/>
          <w:highlight w:val="white"/>
        </w:rPr>
        <w:t xml:space="preserve">by randomly switching the Real and Sham labels for each simulated subject independently </w:t>
      </w:r>
      <w:r w:rsidRPr="001A1328">
        <w:rPr>
          <w:rFonts w:ascii="Times New Roman" w:eastAsia="Times New Roman" w:hAnsi="Times New Roman" w:cs="Times New Roman"/>
          <w:color w:val="000000" w:themeColor="text1"/>
          <w:sz w:val="24"/>
          <w:szCs w:val="24"/>
          <w:highlight w:val="white"/>
        </w:rPr>
        <w:t>and ran</w:t>
      </w:r>
      <w:r w:rsidRPr="00541803">
        <w:rPr>
          <w:rFonts w:ascii="Times New Roman" w:eastAsia="Times New Roman" w:hAnsi="Times New Roman" w:cs="Times New Roman"/>
          <w:sz w:val="24"/>
          <w:szCs w:val="24"/>
          <w:highlight w:val="white"/>
        </w:rPr>
        <w:t xml:space="preserve"> the aforementioned mixed-design ANOVA</w:t>
      </w:r>
      <w:r w:rsidR="009610D7" w:rsidRPr="00541803">
        <w:rPr>
          <w:rFonts w:ascii="Times New Roman" w:eastAsia="Times New Roman" w:hAnsi="Times New Roman" w:cs="Times New Roman"/>
          <w:sz w:val="24"/>
          <w:szCs w:val="24"/>
          <w:highlight w:val="white"/>
        </w:rPr>
        <w:t xml:space="preserve"> at each permutation</w:t>
      </w:r>
      <w:r w:rsidRPr="00541803">
        <w:rPr>
          <w:rFonts w:ascii="Times New Roman" w:eastAsia="Times New Roman" w:hAnsi="Times New Roman" w:cs="Times New Roman"/>
          <w:sz w:val="24"/>
          <w:szCs w:val="24"/>
          <w:highlight w:val="white"/>
        </w:rPr>
        <w:t xml:space="preserve">. </w:t>
      </w:r>
      <w:r w:rsidR="00A418AA" w:rsidRPr="00541803">
        <w:rPr>
          <w:rFonts w:ascii="Times New Roman" w:eastAsia="Times New Roman" w:hAnsi="Times New Roman" w:cs="Times New Roman"/>
          <w:sz w:val="24"/>
          <w:szCs w:val="24"/>
          <w:highlight w:val="white"/>
        </w:rPr>
        <w:t xml:space="preserve">As described in the main text, this yielded a null distribution of F-values against which the F-value in the original data could be compared to assess statistical significance. </w:t>
      </w:r>
      <w:r w:rsidRPr="00541803">
        <w:rPr>
          <w:rFonts w:ascii="Times New Roman" w:eastAsia="Times New Roman" w:hAnsi="Times New Roman" w:cs="Times New Roman"/>
          <w:sz w:val="24"/>
          <w:szCs w:val="24"/>
          <w:highlight w:val="white"/>
        </w:rPr>
        <w:t>If the F statistic for the interaction term for the non-permuted sample was greater than or equal to 95% of the of F statistics for the interaction term for the 1,000 permuted samples, then the TMS x time interaction for that sample was taken to be significant. We also calculated power and false positive rates for normal versus non-normal samples, for both exclusion and non-exclusion separately.</w:t>
      </w:r>
    </w:p>
    <w:p w14:paraId="0E53DF09" w14:textId="77777777" w:rsidR="001D6981" w:rsidRPr="00541803" w:rsidRDefault="004F2E8C" w:rsidP="004C5927">
      <w:pPr>
        <w:pStyle w:val="Normal1"/>
        <w:spacing w:after="200"/>
        <w:jc w:val="both"/>
        <w:outlineLvl w:val="0"/>
        <w:rPr>
          <w:rFonts w:ascii="Times New Roman" w:eastAsia="Times New Roman" w:hAnsi="Times New Roman" w:cs="Times New Roman"/>
          <w:sz w:val="24"/>
          <w:szCs w:val="24"/>
          <w:highlight w:val="white"/>
          <w:u w:val="single"/>
        </w:rPr>
      </w:pPr>
      <w:r w:rsidRPr="00541803">
        <w:rPr>
          <w:rFonts w:ascii="Times New Roman" w:eastAsia="Times New Roman" w:hAnsi="Times New Roman" w:cs="Times New Roman"/>
          <w:sz w:val="24"/>
          <w:szCs w:val="24"/>
          <w:highlight w:val="white"/>
          <w:u w:val="single"/>
        </w:rPr>
        <w:t>Within-subjects simulation 2: standard within-subjects design (</w:t>
      </w:r>
      <w:proofErr w:type="spellStart"/>
      <w:r w:rsidRPr="00541803">
        <w:rPr>
          <w:rFonts w:ascii="Times New Roman" w:eastAsia="Times New Roman" w:hAnsi="Times New Roman" w:cs="Times New Roman"/>
          <w:sz w:val="24"/>
          <w:szCs w:val="24"/>
          <w:highlight w:val="white"/>
          <w:u w:val="single"/>
        </w:rPr>
        <w:t>Rounis</w:t>
      </w:r>
      <w:proofErr w:type="spellEnd"/>
      <w:r w:rsidRPr="00541803">
        <w:rPr>
          <w:rFonts w:ascii="Times New Roman" w:eastAsia="Times New Roman" w:hAnsi="Times New Roman" w:cs="Times New Roman"/>
          <w:sz w:val="24"/>
          <w:szCs w:val="24"/>
          <w:highlight w:val="white"/>
          <w:u w:val="single"/>
        </w:rPr>
        <w:t xml:space="preserve"> et al., 2010), n = 27</w:t>
      </w:r>
    </w:p>
    <w:p w14:paraId="42A00601" w14:textId="77777777" w:rsidR="001D6981" w:rsidRPr="00541803" w:rsidRDefault="004F2E8C">
      <w:pPr>
        <w:pStyle w:val="Normal1"/>
        <w:spacing w:after="200"/>
        <w:jc w:val="both"/>
        <w:rPr>
          <w:rFonts w:ascii="Times New Roman" w:eastAsia="Times New Roman" w:hAnsi="Times New Roman" w:cs="Times New Roman"/>
          <w:sz w:val="24"/>
          <w:szCs w:val="24"/>
          <w:highlight w:val="white"/>
        </w:rPr>
      </w:pPr>
      <w:r w:rsidRPr="00541803">
        <w:rPr>
          <w:rFonts w:ascii="Times New Roman" w:eastAsia="Times New Roman" w:hAnsi="Times New Roman" w:cs="Times New Roman"/>
          <w:sz w:val="24"/>
          <w:szCs w:val="24"/>
          <w:highlight w:val="white"/>
        </w:rPr>
        <w:t xml:space="preserve">        </w:t>
      </w:r>
      <w:r w:rsidRPr="00541803">
        <w:rPr>
          <w:rFonts w:ascii="Times New Roman" w:eastAsia="Times New Roman" w:hAnsi="Times New Roman" w:cs="Times New Roman"/>
          <w:sz w:val="24"/>
          <w:szCs w:val="24"/>
          <w:highlight w:val="white"/>
        </w:rPr>
        <w:tab/>
        <w:t xml:space="preserve">In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al.’s (2010) experiment, 20 human subjects went through four conditions of the behavioral task in a within-subjects design: Pre-Real-TMS, Post-Real-TMS, Pre-Sham-TMS, and Post-Sham-TMS. Thus, Pre- and Post- measures were taken on the same day, before and after application of Real or Sham TMS. Mirroring this design, we performed 1,000 simulated experiments of 27 subjects each.</w:t>
      </w:r>
    </w:p>
    <w:p w14:paraId="101334E0" w14:textId="77777777" w:rsidR="001D6981" w:rsidRPr="00541803" w:rsidRDefault="004F2E8C" w:rsidP="004C5927">
      <w:pPr>
        <w:pStyle w:val="Normal1"/>
        <w:spacing w:after="200"/>
        <w:jc w:val="both"/>
        <w:outlineLvl w:val="0"/>
        <w:rPr>
          <w:rFonts w:ascii="Times New Roman" w:eastAsia="Times New Roman" w:hAnsi="Times New Roman" w:cs="Times New Roman"/>
          <w:sz w:val="24"/>
          <w:szCs w:val="24"/>
          <w:highlight w:val="white"/>
          <w:u w:val="single"/>
        </w:rPr>
      </w:pPr>
      <w:r w:rsidRPr="00541803">
        <w:rPr>
          <w:rFonts w:ascii="Times New Roman" w:eastAsia="Times New Roman" w:hAnsi="Times New Roman" w:cs="Times New Roman"/>
          <w:sz w:val="24"/>
          <w:szCs w:val="24"/>
          <w:highlight w:val="white"/>
          <w:u w:val="single"/>
        </w:rPr>
        <w:t>Within-subjects simulation 3: standard within-subjects design (</w:t>
      </w:r>
      <w:proofErr w:type="spellStart"/>
      <w:r w:rsidRPr="00541803">
        <w:rPr>
          <w:rFonts w:ascii="Times New Roman" w:eastAsia="Times New Roman" w:hAnsi="Times New Roman" w:cs="Times New Roman"/>
          <w:sz w:val="24"/>
          <w:szCs w:val="24"/>
          <w:highlight w:val="white"/>
          <w:u w:val="single"/>
        </w:rPr>
        <w:t>Rounis</w:t>
      </w:r>
      <w:proofErr w:type="spellEnd"/>
      <w:r w:rsidRPr="00541803">
        <w:rPr>
          <w:rFonts w:ascii="Times New Roman" w:eastAsia="Times New Roman" w:hAnsi="Times New Roman" w:cs="Times New Roman"/>
          <w:sz w:val="24"/>
          <w:szCs w:val="24"/>
          <w:highlight w:val="white"/>
          <w:u w:val="single"/>
        </w:rPr>
        <w:t xml:space="preserve"> et al., 2010), n = 20</w:t>
      </w:r>
    </w:p>
    <w:p w14:paraId="4BE0270D" w14:textId="77777777" w:rsidR="001D6981" w:rsidRDefault="004F2E8C">
      <w:pPr>
        <w:pStyle w:val="Normal1"/>
        <w:spacing w:after="200"/>
        <w:ind w:firstLine="720"/>
        <w:jc w:val="both"/>
        <w:rPr>
          <w:rFonts w:ascii="Times New Roman" w:eastAsia="Times New Roman" w:hAnsi="Times New Roman" w:cs="Times New Roman"/>
          <w:sz w:val="24"/>
          <w:szCs w:val="24"/>
          <w:highlight w:val="white"/>
        </w:rPr>
      </w:pPr>
      <w:r w:rsidRPr="00541803">
        <w:rPr>
          <w:rFonts w:ascii="Times New Roman" w:eastAsia="Times New Roman" w:hAnsi="Times New Roman" w:cs="Times New Roman"/>
          <w:sz w:val="24"/>
          <w:szCs w:val="24"/>
          <w:highlight w:val="white"/>
        </w:rPr>
        <w:t xml:space="preserve">Our final simulation was identical to the previous simulation, with the exception that the sample size for each simulated experiment was 20 instead of 27 to match the original sample size used by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 (2010).</w:t>
      </w:r>
    </w:p>
    <w:p w14:paraId="57C4FDF5" w14:textId="77777777" w:rsidR="00783A0E" w:rsidRDefault="00783A0E">
      <w:pPr>
        <w:pStyle w:val="Normal1"/>
        <w:spacing w:after="200"/>
        <w:ind w:firstLine="720"/>
        <w:jc w:val="both"/>
        <w:rPr>
          <w:rFonts w:ascii="Times New Roman" w:eastAsia="Times New Roman" w:hAnsi="Times New Roman" w:cs="Times New Roman"/>
          <w:sz w:val="24"/>
          <w:szCs w:val="24"/>
          <w:highlight w:val="white"/>
        </w:rPr>
      </w:pPr>
    </w:p>
    <w:p w14:paraId="3B4F7BDE" w14:textId="77777777" w:rsidR="00783A0E" w:rsidRPr="00541803" w:rsidRDefault="00783A0E">
      <w:pPr>
        <w:pStyle w:val="Normal1"/>
        <w:spacing w:after="200"/>
        <w:ind w:firstLine="720"/>
        <w:jc w:val="both"/>
        <w:rPr>
          <w:rFonts w:ascii="Times New Roman" w:eastAsia="Times New Roman" w:hAnsi="Times New Roman" w:cs="Times New Roman"/>
          <w:b/>
          <w:sz w:val="24"/>
          <w:szCs w:val="24"/>
          <w:highlight w:val="white"/>
        </w:rPr>
      </w:pPr>
    </w:p>
    <w:p w14:paraId="714707F8" w14:textId="0054E7BD" w:rsidR="001D6981" w:rsidRPr="00541803" w:rsidRDefault="00A422B9">
      <w:pPr>
        <w:pStyle w:val="Normal1"/>
        <w:rPr>
          <w:rFonts w:ascii="Times New Roman" w:hAnsi="Times New Roman" w:cs="Times New Roman"/>
          <w:color w:val="000000" w:themeColor="text1"/>
          <w:sz w:val="24"/>
          <w:szCs w:val="24"/>
          <w:u w:val="single"/>
        </w:rPr>
      </w:pPr>
      <w:r w:rsidRPr="00541803">
        <w:rPr>
          <w:rFonts w:ascii="Times New Roman" w:hAnsi="Times New Roman" w:cs="Times New Roman"/>
          <w:color w:val="000000" w:themeColor="text1"/>
          <w:sz w:val="24"/>
          <w:szCs w:val="24"/>
          <w:u w:val="single"/>
        </w:rPr>
        <w:lastRenderedPageBreak/>
        <w:t xml:space="preserve">Applying subject exclusion to </w:t>
      </w:r>
      <w:proofErr w:type="spellStart"/>
      <w:r w:rsidRPr="00541803">
        <w:rPr>
          <w:rFonts w:ascii="Times New Roman" w:hAnsi="Times New Roman" w:cs="Times New Roman"/>
          <w:color w:val="000000" w:themeColor="text1"/>
          <w:sz w:val="24"/>
          <w:szCs w:val="24"/>
          <w:u w:val="single"/>
        </w:rPr>
        <w:t>Rounis</w:t>
      </w:r>
      <w:proofErr w:type="spellEnd"/>
      <w:r w:rsidRPr="00541803">
        <w:rPr>
          <w:rFonts w:ascii="Times New Roman" w:hAnsi="Times New Roman" w:cs="Times New Roman"/>
          <w:color w:val="000000" w:themeColor="text1"/>
          <w:sz w:val="24"/>
          <w:szCs w:val="24"/>
          <w:u w:val="single"/>
        </w:rPr>
        <w:t xml:space="preserve"> et al.’s (2010) original dataset: </w:t>
      </w:r>
    </w:p>
    <w:p w14:paraId="544AE12D" w14:textId="77777777" w:rsidR="00A422B9" w:rsidRPr="00541803" w:rsidRDefault="00A422B9">
      <w:pPr>
        <w:pStyle w:val="Normal1"/>
        <w:rPr>
          <w:rFonts w:ascii="Times New Roman" w:hAnsi="Times New Roman" w:cs="Times New Roman"/>
          <w:color w:val="000000" w:themeColor="text1"/>
          <w:sz w:val="24"/>
          <w:szCs w:val="24"/>
          <w:u w:val="single"/>
        </w:rPr>
      </w:pPr>
    </w:p>
    <w:p w14:paraId="57AD58EF" w14:textId="17203F47" w:rsidR="00A422B9" w:rsidRPr="00541803" w:rsidRDefault="00894763" w:rsidP="001A1328">
      <w:pPr>
        <w:ind w:firstLine="720"/>
        <w:rPr>
          <w:rFonts w:ascii="Times New Roman" w:eastAsia="Times New Roman" w:hAnsi="Times New Roman" w:cs="Times New Roman"/>
          <w:color w:val="auto"/>
          <w:sz w:val="24"/>
          <w:szCs w:val="24"/>
          <w:lang w:val="en-US"/>
        </w:rPr>
      </w:pPr>
      <w:r w:rsidRPr="00541803">
        <w:rPr>
          <w:rFonts w:ascii="Times New Roman" w:eastAsia="Times New Roman" w:hAnsi="Times New Roman" w:cs="Times New Roman"/>
          <w:sz w:val="24"/>
          <w:szCs w:val="24"/>
          <w:lang w:val="en-US"/>
        </w:rPr>
        <w:t xml:space="preserve">We re-ran analyses on </w:t>
      </w:r>
      <w:proofErr w:type="spellStart"/>
      <w:r w:rsidRPr="00541803">
        <w:rPr>
          <w:rFonts w:ascii="Times New Roman" w:eastAsia="Times New Roman" w:hAnsi="Times New Roman" w:cs="Times New Roman"/>
          <w:sz w:val="24"/>
          <w:szCs w:val="24"/>
          <w:lang w:val="en-US"/>
        </w:rPr>
        <w:t>Rounis</w:t>
      </w:r>
      <w:proofErr w:type="spellEnd"/>
      <w:r w:rsidRPr="00541803">
        <w:rPr>
          <w:rFonts w:ascii="Times New Roman" w:eastAsia="Times New Roman" w:hAnsi="Times New Roman" w:cs="Times New Roman"/>
          <w:sz w:val="24"/>
          <w:szCs w:val="24"/>
          <w:lang w:val="en-US"/>
        </w:rPr>
        <w:t xml:space="preserve"> et al.’s (2010) original data set while adhering to </w:t>
      </w:r>
      <w:proofErr w:type="spellStart"/>
      <w:r w:rsidRPr="00541803">
        <w:rPr>
          <w:rFonts w:ascii="Times New Roman" w:eastAsia="Times New Roman" w:hAnsi="Times New Roman" w:cs="Times New Roman"/>
          <w:sz w:val="24"/>
          <w:szCs w:val="24"/>
          <w:lang w:val="en-US"/>
        </w:rPr>
        <w:t>Bor</w:t>
      </w:r>
      <w:proofErr w:type="spellEnd"/>
      <w:r w:rsidRPr="00541803">
        <w:rPr>
          <w:rFonts w:ascii="Times New Roman" w:eastAsia="Times New Roman" w:hAnsi="Times New Roman" w:cs="Times New Roman"/>
          <w:sz w:val="24"/>
          <w:szCs w:val="24"/>
          <w:lang w:val="en-US"/>
        </w:rPr>
        <w:t xml:space="preserve"> et al.’s exclusion criteria. We also applied the Shapiro-Wilk test to the original data set to test for a violation of the normality assumption</w:t>
      </w:r>
      <w:r w:rsidR="00BE650C" w:rsidRPr="00541803">
        <w:rPr>
          <w:rFonts w:ascii="Times New Roman" w:eastAsia="Times New Roman" w:hAnsi="Times New Roman" w:cs="Times New Roman"/>
          <w:sz w:val="24"/>
          <w:szCs w:val="24"/>
          <w:lang w:val="en-US"/>
        </w:rPr>
        <w:t xml:space="preserve">. In the case of such a violation, we furthermore </w:t>
      </w:r>
      <w:r w:rsidRPr="00541803">
        <w:rPr>
          <w:rFonts w:ascii="Times New Roman" w:eastAsia="Times New Roman" w:hAnsi="Times New Roman" w:cs="Times New Roman"/>
          <w:sz w:val="24"/>
          <w:szCs w:val="24"/>
          <w:lang w:val="en-US"/>
        </w:rPr>
        <w:t xml:space="preserve">elected to </w:t>
      </w:r>
      <w:r w:rsidR="00BE650C" w:rsidRPr="00541803">
        <w:rPr>
          <w:rFonts w:ascii="Times New Roman" w:eastAsia="Times New Roman" w:hAnsi="Times New Roman" w:cs="Times New Roman"/>
          <w:sz w:val="24"/>
          <w:szCs w:val="24"/>
          <w:lang w:val="en-US"/>
        </w:rPr>
        <w:t xml:space="preserve">include the full sample from </w:t>
      </w:r>
      <w:proofErr w:type="spellStart"/>
      <w:r w:rsidR="00BE650C" w:rsidRPr="00541803">
        <w:rPr>
          <w:rFonts w:ascii="Times New Roman" w:eastAsia="Times New Roman" w:hAnsi="Times New Roman" w:cs="Times New Roman"/>
          <w:sz w:val="24"/>
          <w:szCs w:val="24"/>
          <w:lang w:val="en-US"/>
        </w:rPr>
        <w:t>Rounis</w:t>
      </w:r>
      <w:proofErr w:type="spellEnd"/>
      <w:r w:rsidR="00BE650C" w:rsidRPr="00541803">
        <w:rPr>
          <w:rFonts w:ascii="Times New Roman" w:eastAsia="Times New Roman" w:hAnsi="Times New Roman" w:cs="Times New Roman"/>
          <w:sz w:val="24"/>
          <w:szCs w:val="24"/>
          <w:lang w:val="en-US"/>
        </w:rPr>
        <w:t xml:space="preserve"> </w:t>
      </w:r>
      <w:proofErr w:type="gramStart"/>
      <w:r w:rsidR="00BE650C" w:rsidRPr="00541803">
        <w:rPr>
          <w:rFonts w:ascii="Times New Roman" w:eastAsia="Times New Roman" w:hAnsi="Times New Roman" w:cs="Times New Roman"/>
          <w:sz w:val="24"/>
          <w:szCs w:val="24"/>
          <w:lang w:val="en-US"/>
        </w:rPr>
        <w:t>et al., but</w:t>
      </w:r>
      <w:proofErr w:type="gramEnd"/>
      <w:r w:rsidR="00BE650C" w:rsidRPr="00541803">
        <w:rPr>
          <w:rFonts w:ascii="Times New Roman" w:eastAsia="Times New Roman" w:hAnsi="Times New Roman" w:cs="Times New Roman"/>
          <w:sz w:val="24"/>
          <w:szCs w:val="24"/>
          <w:lang w:val="en-US"/>
        </w:rPr>
        <w:t xml:space="preserve"> replace the </w:t>
      </w:r>
      <w:r w:rsidR="00BE650C" w:rsidRPr="00541803">
        <w:rPr>
          <w:rFonts w:ascii="Times New Roman" w:eastAsia="Times New Roman" w:hAnsi="Times New Roman" w:cs="Times New Roman"/>
          <w:sz w:val="24"/>
          <w:szCs w:val="24"/>
          <w:highlight w:val="white"/>
        </w:rPr>
        <w:t>2 x 2 within-subjects ANOVA</w:t>
      </w:r>
      <w:r w:rsidR="00BE650C" w:rsidRPr="00541803">
        <w:rPr>
          <w:rFonts w:ascii="Times New Roman" w:eastAsia="Times New Roman" w:hAnsi="Times New Roman" w:cs="Times New Roman"/>
          <w:sz w:val="24"/>
          <w:szCs w:val="24"/>
        </w:rPr>
        <w:t xml:space="preserve"> with a permutation test to check for statistical significance.</w:t>
      </w:r>
      <w:bookmarkStart w:id="0" w:name="_GoBack"/>
      <w:bookmarkEnd w:id="0"/>
    </w:p>
    <w:p w14:paraId="54626096" w14:textId="77777777" w:rsidR="00A422B9" w:rsidRPr="00541803" w:rsidRDefault="00A422B9">
      <w:pPr>
        <w:pStyle w:val="Normal1"/>
        <w:rPr>
          <w:rFonts w:ascii="Times New Roman" w:hAnsi="Times New Roman" w:cs="Times New Roman"/>
          <w:color w:val="000000" w:themeColor="text1"/>
          <w:sz w:val="24"/>
          <w:szCs w:val="24"/>
          <w:u w:val="single"/>
        </w:rPr>
      </w:pPr>
    </w:p>
    <w:p w14:paraId="4D09A4A9" w14:textId="77777777" w:rsidR="001D6981" w:rsidRPr="00541803" w:rsidRDefault="004F2E8C" w:rsidP="004C5927">
      <w:pPr>
        <w:pStyle w:val="Normal1"/>
        <w:outlineLvl w:val="0"/>
        <w:rPr>
          <w:rFonts w:ascii="Times New Roman" w:eastAsia="Times New Roman" w:hAnsi="Times New Roman" w:cs="Times New Roman"/>
          <w:b/>
          <w:sz w:val="24"/>
          <w:szCs w:val="24"/>
          <w:highlight w:val="white"/>
        </w:rPr>
      </w:pPr>
      <w:r w:rsidRPr="00541803">
        <w:rPr>
          <w:rFonts w:ascii="Times New Roman" w:eastAsia="Times New Roman" w:hAnsi="Times New Roman" w:cs="Times New Roman"/>
          <w:b/>
          <w:sz w:val="24"/>
          <w:szCs w:val="24"/>
          <w:highlight w:val="white"/>
        </w:rPr>
        <w:t>Results</w:t>
      </w:r>
    </w:p>
    <w:p w14:paraId="05FED312" w14:textId="77777777" w:rsidR="001D6981" w:rsidRPr="00541803" w:rsidRDefault="001D6981">
      <w:pPr>
        <w:pStyle w:val="Normal1"/>
        <w:rPr>
          <w:rFonts w:ascii="Times New Roman" w:eastAsia="Times New Roman" w:hAnsi="Times New Roman" w:cs="Times New Roman"/>
          <w:b/>
          <w:sz w:val="24"/>
          <w:szCs w:val="24"/>
          <w:highlight w:val="white"/>
        </w:rPr>
      </w:pPr>
    </w:p>
    <w:p w14:paraId="1BF40DB1" w14:textId="77777777" w:rsidR="001D6981" w:rsidRPr="00541803" w:rsidRDefault="004F2E8C" w:rsidP="004C5927">
      <w:pPr>
        <w:pStyle w:val="Normal1"/>
        <w:outlineLvl w:val="0"/>
        <w:rPr>
          <w:rFonts w:ascii="Times New Roman" w:eastAsia="Times New Roman" w:hAnsi="Times New Roman" w:cs="Times New Roman"/>
          <w:sz w:val="24"/>
          <w:szCs w:val="24"/>
          <w:highlight w:val="white"/>
          <w:u w:val="single"/>
        </w:rPr>
      </w:pPr>
      <w:r w:rsidRPr="00541803">
        <w:rPr>
          <w:rFonts w:ascii="Times New Roman" w:eastAsia="Times New Roman" w:hAnsi="Times New Roman" w:cs="Times New Roman"/>
          <w:sz w:val="24"/>
          <w:szCs w:val="24"/>
          <w:highlight w:val="white"/>
          <w:u w:val="single"/>
        </w:rPr>
        <w:t>Assessment of effect-present and effect-absent within-subject populations</w:t>
      </w:r>
    </w:p>
    <w:p w14:paraId="7CBE02F5" w14:textId="77777777" w:rsidR="001D6981" w:rsidRPr="00541803" w:rsidRDefault="004F2E8C">
      <w:pPr>
        <w:pStyle w:val="Normal1"/>
        <w:rPr>
          <w:rFonts w:ascii="Times New Roman" w:hAnsi="Times New Roman" w:cs="Times New Roman"/>
          <w:sz w:val="24"/>
          <w:szCs w:val="24"/>
        </w:rPr>
      </w:pPr>
      <w:r w:rsidRPr="00541803">
        <w:rPr>
          <w:rFonts w:ascii="Times New Roman" w:hAnsi="Times New Roman" w:cs="Times New Roman"/>
          <w:sz w:val="24"/>
          <w:szCs w:val="24"/>
        </w:rPr>
        <w:t xml:space="preserve"> </w:t>
      </w:r>
    </w:p>
    <w:p w14:paraId="20847208" w14:textId="77777777" w:rsidR="001D6981" w:rsidRDefault="004F2E8C">
      <w:pPr>
        <w:pStyle w:val="Normal1"/>
        <w:ind w:firstLine="720"/>
        <w:rPr>
          <w:rFonts w:ascii="Times New Roman" w:eastAsia="Times New Roman" w:hAnsi="Times New Roman" w:cs="Times New Roman"/>
          <w:color w:val="222222"/>
          <w:sz w:val="24"/>
          <w:szCs w:val="24"/>
          <w:highlight w:val="white"/>
        </w:rPr>
      </w:pPr>
      <w:r w:rsidRPr="00541803">
        <w:rPr>
          <w:rFonts w:ascii="Times New Roman" w:eastAsia="Times New Roman" w:hAnsi="Times New Roman" w:cs="Times New Roman"/>
          <w:sz w:val="24"/>
          <w:szCs w:val="24"/>
          <w:highlight w:val="white"/>
        </w:rPr>
        <w:t xml:space="preserve">For each within-subjects population comparisons of condition means and a 2 x 2 within-subjects ANOVA, with factors TMS type (Real-TMS, Sham-TMS) and time (Pre-TMS, Post-TMS), confirmed the detrimental effect of TMS on metacognitive sensitivity (i.e., meta d’ - d’) but the expected null effect on basic task performance with significant TMS type x time interactions. For the population used for the double-repeat design, F(1,4999) = 409.39, p &lt; .001, and condition means were as follows: Pre-Real-TMS d’=1.683 and meta d’=1.554, Post-Real-TMS d’= 1.690 and meta d’ = 1.150, Pre-Sham-TMS d’= 1.690 and meta d’ = 1.577, Post-Sham-TMS d’= 1.692 and meta d’ = 1.556. For the population used for the two within-subjects designs based on </w:t>
      </w:r>
      <w:proofErr w:type="spellStart"/>
      <w:r w:rsidRPr="00541803">
        <w:rPr>
          <w:rFonts w:ascii="Times New Roman" w:eastAsia="Times New Roman" w:hAnsi="Times New Roman" w:cs="Times New Roman"/>
          <w:sz w:val="24"/>
          <w:szCs w:val="24"/>
          <w:highlight w:val="white"/>
        </w:rPr>
        <w:t>Rounis</w:t>
      </w:r>
      <w:proofErr w:type="spellEnd"/>
      <w:r w:rsidRPr="00541803">
        <w:rPr>
          <w:rFonts w:ascii="Times New Roman" w:eastAsia="Times New Roman" w:hAnsi="Times New Roman" w:cs="Times New Roman"/>
          <w:sz w:val="24"/>
          <w:szCs w:val="24"/>
          <w:highlight w:val="white"/>
        </w:rPr>
        <w:t xml:space="preserve"> et. al. (2010); </w:t>
      </w:r>
      <w:proofErr w:type="gramStart"/>
      <w:r w:rsidRPr="00541803">
        <w:rPr>
          <w:rFonts w:ascii="Times New Roman" w:eastAsia="Times New Roman" w:hAnsi="Times New Roman" w:cs="Times New Roman"/>
          <w:sz w:val="24"/>
          <w:szCs w:val="24"/>
          <w:highlight w:val="white"/>
        </w:rPr>
        <w:t>F(</w:t>
      </w:r>
      <w:proofErr w:type="gramEnd"/>
      <w:r w:rsidRPr="00541803">
        <w:rPr>
          <w:rFonts w:ascii="Times New Roman" w:eastAsia="Times New Roman" w:hAnsi="Times New Roman" w:cs="Times New Roman"/>
          <w:sz w:val="24"/>
          <w:szCs w:val="24"/>
          <w:highlight w:val="white"/>
        </w:rPr>
        <w:t xml:space="preserve">1,4999) = 374.81, p &lt; .001, and condition means were: Pre-Real-TMS </w:t>
      </w:r>
      <w:r w:rsidRPr="00541803">
        <w:rPr>
          <w:rFonts w:ascii="Times New Roman" w:eastAsia="Times New Roman" w:hAnsi="Times New Roman" w:cs="Times New Roman"/>
          <w:color w:val="222222"/>
          <w:sz w:val="24"/>
          <w:szCs w:val="24"/>
          <w:highlight w:val="white"/>
        </w:rPr>
        <w:t>d’=1.689 and meta d’=1.568, Post-Real-TMS d’= 1.705 and meta d’ = 1.115, Pre-Sham-TMS d’= 1.703 and meta d’ = 1.587, Post-Sham-TMS d’= 1.703 and meta d’ = 1.600.</w:t>
      </w:r>
      <w:r w:rsidRPr="00541803">
        <w:rPr>
          <w:rFonts w:ascii="Times New Roman" w:eastAsia="Times New Roman" w:hAnsi="Times New Roman" w:cs="Times New Roman"/>
          <w:sz w:val="24"/>
          <w:szCs w:val="24"/>
          <w:highlight w:val="white"/>
        </w:rPr>
        <w:t xml:space="preserve">  Conversely, comparisons of condition </w:t>
      </w:r>
      <w:proofErr w:type="gramStart"/>
      <w:r w:rsidRPr="00541803">
        <w:rPr>
          <w:rFonts w:ascii="Times New Roman" w:eastAsia="Times New Roman" w:hAnsi="Times New Roman" w:cs="Times New Roman"/>
          <w:sz w:val="24"/>
          <w:szCs w:val="24"/>
          <w:highlight w:val="white"/>
        </w:rPr>
        <w:t>means</w:t>
      </w:r>
      <w:proofErr w:type="gramEnd"/>
      <w:r w:rsidRPr="00541803">
        <w:rPr>
          <w:rFonts w:ascii="Times New Roman" w:eastAsia="Times New Roman" w:hAnsi="Times New Roman" w:cs="Times New Roman"/>
          <w:sz w:val="24"/>
          <w:szCs w:val="24"/>
          <w:highlight w:val="white"/>
        </w:rPr>
        <w:t xml:space="preserve"> and 2 x 2 within-subjects ANOVAs for effect-absent within-subjects populations showed virtually no effect of TMS on metacognitive sensitivity. For the double-repeat design </w:t>
      </w:r>
      <w:proofErr w:type="gramStart"/>
      <w:r w:rsidRPr="00541803">
        <w:rPr>
          <w:rFonts w:ascii="Times New Roman" w:eastAsia="Times New Roman" w:hAnsi="Times New Roman" w:cs="Times New Roman"/>
          <w:sz w:val="24"/>
          <w:szCs w:val="24"/>
          <w:highlight w:val="white"/>
        </w:rPr>
        <w:t>F(</w:t>
      </w:r>
      <w:proofErr w:type="gramEnd"/>
      <w:r w:rsidRPr="00541803">
        <w:rPr>
          <w:rFonts w:ascii="Times New Roman" w:eastAsia="Times New Roman" w:hAnsi="Times New Roman" w:cs="Times New Roman"/>
          <w:sz w:val="24"/>
          <w:szCs w:val="24"/>
          <w:highlight w:val="white"/>
        </w:rPr>
        <w:t xml:space="preserve">1,4999) = 5.72, p = .017, and condition means were: Pre-Real-TMS </w:t>
      </w:r>
      <w:r w:rsidRPr="00541803">
        <w:rPr>
          <w:rFonts w:ascii="Times New Roman" w:eastAsia="Times New Roman" w:hAnsi="Times New Roman" w:cs="Times New Roman"/>
          <w:color w:val="222222"/>
          <w:sz w:val="24"/>
          <w:szCs w:val="24"/>
          <w:highlight w:val="white"/>
        </w:rPr>
        <w:t xml:space="preserve">d’=1.681 and meta d’=1.541, Post-Real-TMS d’= 1.691 and meta d’ = 1.531, Pre-Sham-TMS d’= 1.689 and meta d’ = 1.535, Post-Sham-TMS d’= 1.688 and meta d’ = 1.546. For </w:t>
      </w:r>
      <w:r w:rsidRPr="00541803">
        <w:rPr>
          <w:rFonts w:ascii="Times New Roman" w:eastAsia="Times New Roman" w:hAnsi="Times New Roman" w:cs="Times New Roman"/>
          <w:sz w:val="24"/>
          <w:szCs w:val="24"/>
          <w:highlight w:val="white"/>
        </w:rPr>
        <w:t xml:space="preserve">the population used for the other two within-subjects designs, For the double-repeat design F(1,4999) = 5.95, p = .015, and condition means were: Pre-Real-TMS </w:t>
      </w:r>
      <w:r w:rsidRPr="00541803">
        <w:rPr>
          <w:rFonts w:ascii="Times New Roman" w:eastAsia="Times New Roman" w:hAnsi="Times New Roman" w:cs="Times New Roman"/>
          <w:color w:val="222222"/>
          <w:sz w:val="24"/>
          <w:szCs w:val="24"/>
          <w:highlight w:val="white"/>
        </w:rPr>
        <w:t xml:space="preserve">d’=1.686 and meta d’=1.549, Post-Real-TMS d’= 1.701 and meta d’ = 1.548, Pre-Sham-TMS d’= 1.702 and meta d’ = 1.547, Post-Sham-TMS d’= 1.699 and meta d’ = 1.570. It is worth noting that while the ANOVAs for the two within-subjects </w:t>
      </w:r>
      <w:proofErr w:type="gramStart"/>
      <w:r w:rsidRPr="00541803">
        <w:rPr>
          <w:rFonts w:ascii="Times New Roman" w:eastAsia="Times New Roman" w:hAnsi="Times New Roman" w:cs="Times New Roman"/>
          <w:color w:val="222222"/>
          <w:sz w:val="24"/>
          <w:szCs w:val="24"/>
          <w:highlight w:val="white"/>
        </w:rPr>
        <w:t>effect</w:t>
      </w:r>
      <w:proofErr w:type="gramEnd"/>
      <w:r w:rsidRPr="00541803">
        <w:rPr>
          <w:rFonts w:ascii="Times New Roman" w:eastAsia="Times New Roman" w:hAnsi="Times New Roman" w:cs="Times New Roman"/>
          <w:color w:val="222222"/>
          <w:sz w:val="24"/>
          <w:szCs w:val="24"/>
          <w:highlight w:val="white"/>
        </w:rPr>
        <w:t xml:space="preserve">-absent populations reached </w:t>
      </w:r>
      <w:r w:rsidRPr="00541803">
        <w:rPr>
          <w:rFonts w:ascii="Times New Roman" w:eastAsia="Times New Roman" w:hAnsi="Times New Roman" w:cs="Times New Roman"/>
          <w:i/>
          <w:color w:val="222222"/>
          <w:sz w:val="24"/>
          <w:szCs w:val="24"/>
          <w:highlight w:val="white"/>
        </w:rPr>
        <w:t>statistical</w:t>
      </w:r>
      <w:r w:rsidRPr="00541803">
        <w:rPr>
          <w:rFonts w:ascii="Times New Roman" w:eastAsia="Times New Roman" w:hAnsi="Times New Roman" w:cs="Times New Roman"/>
          <w:color w:val="222222"/>
          <w:sz w:val="24"/>
          <w:szCs w:val="24"/>
          <w:highlight w:val="white"/>
        </w:rPr>
        <w:t xml:space="preserve"> significance, by looking at the means one can see that the statistical significance is only due to the large degrees of freedom and not due to meaningful differences between the groups or conditions (in comparison, there were meaningful differences between the groups/conditions in the effect-present populations).</w:t>
      </w:r>
    </w:p>
    <w:p w14:paraId="734FC1A5" w14:textId="77777777" w:rsidR="00783A0E" w:rsidRDefault="00783A0E">
      <w:pPr>
        <w:pStyle w:val="Normal1"/>
        <w:ind w:firstLine="720"/>
        <w:rPr>
          <w:rFonts w:ascii="Times New Roman" w:eastAsia="Times New Roman" w:hAnsi="Times New Roman" w:cs="Times New Roman"/>
          <w:color w:val="222222"/>
          <w:sz w:val="24"/>
          <w:szCs w:val="24"/>
          <w:highlight w:val="white"/>
        </w:rPr>
      </w:pPr>
    </w:p>
    <w:p w14:paraId="55C4DA84" w14:textId="77777777" w:rsidR="00783A0E" w:rsidRPr="00541803" w:rsidRDefault="00783A0E">
      <w:pPr>
        <w:pStyle w:val="Normal1"/>
        <w:ind w:firstLine="720"/>
        <w:rPr>
          <w:rFonts w:ascii="Times New Roman" w:eastAsia="Times New Roman" w:hAnsi="Times New Roman" w:cs="Times New Roman"/>
          <w:b/>
          <w:sz w:val="24"/>
          <w:szCs w:val="24"/>
          <w:highlight w:val="white"/>
        </w:rPr>
      </w:pPr>
    </w:p>
    <w:p w14:paraId="14176EA8" w14:textId="77777777" w:rsidR="001D6981" w:rsidRPr="00541803" w:rsidRDefault="001D6981">
      <w:pPr>
        <w:pStyle w:val="Normal1"/>
        <w:rPr>
          <w:rFonts w:ascii="Times New Roman" w:eastAsia="Times New Roman" w:hAnsi="Times New Roman" w:cs="Times New Roman"/>
          <w:b/>
          <w:sz w:val="24"/>
          <w:szCs w:val="24"/>
          <w:highlight w:val="white"/>
        </w:rPr>
      </w:pPr>
    </w:p>
    <w:p w14:paraId="61FCDD06" w14:textId="60E0335E" w:rsidR="001D6981" w:rsidRPr="00541803" w:rsidRDefault="004F2E8C" w:rsidP="004C5927">
      <w:pPr>
        <w:pStyle w:val="Normal1"/>
        <w:outlineLvl w:val="0"/>
        <w:rPr>
          <w:rFonts w:ascii="Times New Roman" w:eastAsia="Times New Roman" w:hAnsi="Times New Roman" w:cs="Times New Roman"/>
          <w:b/>
          <w:sz w:val="24"/>
          <w:szCs w:val="24"/>
          <w:highlight w:val="white"/>
        </w:rPr>
      </w:pPr>
      <w:r w:rsidRPr="00541803">
        <w:rPr>
          <w:rFonts w:ascii="Times New Roman" w:eastAsia="Times New Roman" w:hAnsi="Times New Roman" w:cs="Times New Roman"/>
          <w:sz w:val="24"/>
          <w:szCs w:val="24"/>
          <w:highlight w:val="white"/>
          <w:u w:val="single"/>
        </w:rPr>
        <w:lastRenderedPageBreak/>
        <w:t xml:space="preserve">Main results of simulated experiments </w:t>
      </w:r>
    </w:p>
    <w:p w14:paraId="3CB81FA6" w14:textId="77777777" w:rsidR="001D6981" w:rsidRPr="00541803" w:rsidRDefault="001D6981">
      <w:pPr>
        <w:pStyle w:val="Normal1"/>
        <w:rPr>
          <w:rFonts w:ascii="Times New Roman" w:eastAsia="Times New Roman" w:hAnsi="Times New Roman" w:cs="Times New Roman"/>
          <w:b/>
          <w:sz w:val="24"/>
          <w:szCs w:val="24"/>
          <w:highlight w:val="white"/>
        </w:rPr>
      </w:pPr>
    </w:p>
    <w:p w14:paraId="7EA2EF6E" w14:textId="36C34034" w:rsidR="001D6981" w:rsidRPr="00541803" w:rsidRDefault="004F2E8C">
      <w:pPr>
        <w:pStyle w:val="Normal1"/>
        <w:ind w:firstLine="720"/>
        <w:rPr>
          <w:rFonts w:ascii="Times New Roman" w:eastAsia="Times New Roman" w:hAnsi="Times New Roman" w:cs="Times New Roman"/>
          <w:sz w:val="24"/>
          <w:szCs w:val="24"/>
          <w:highlight w:val="white"/>
          <w:u w:val="single"/>
        </w:rPr>
      </w:pPr>
      <w:r w:rsidRPr="00541803">
        <w:rPr>
          <w:rFonts w:ascii="Times New Roman" w:eastAsia="Times New Roman" w:hAnsi="Times New Roman" w:cs="Times New Roman"/>
          <w:sz w:val="24"/>
          <w:szCs w:val="24"/>
          <w:highlight w:val="white"/>
        </w:rPr>
        <w:t>Results for all simulated experiments are shown in Table 1 below, including those not detailed in the main text. The main results listed in the table are for analyses executed without performing permutation tests in cases of violations of normality, i.e. standard ANOVAs. However, as we explain in the main text, we found similar results for all experimental designs both before and after including permutation tests in our analyses; results of the analyses which used nonparametric permutation tests to assess statistical significance are included in parentheses in the table.</w:t>
      </w:r>
    </w:p>
    <w:p w14:paraId="4BC83DC8" w14:textId="77777777" w:rsidR="001D6981" w:rsidRDefault="001D6981">
      <w:pPr>
        <w:pStyle w:val="Normal1"/>
        <w:rPr>
          <w:rFonts w:ascii="Times New Roman" w:eastAsia="Times New Roman" w:hAnsi="Times New Roman" w:cs="Times New Roman"/>
          <w:highlight w:val="white"/>
        </w:rPr>
      </w:pPr>
    </w:p>
    <w:p w14:paraId="5B3ADC01" w14:textId="77777777" w:rsidR="004F2E8C" w:rsidRDefault="004F2E8C">
      <w:pPr>
        <w:pStyle w:val="Normal1"/>
        <w:rPr>
          <w:rFonts w:ascii="Times New Roman" w:eastAsia="Times New Roman" w:hAnsi="Times New Roman" w:cs="Times New Roman"/>
          <w:highlight w:val="white"/>
        </w:rPr>
      </w:pPr>
    </w:p>
    <w:p w14:paraId="5BF6EE02" w14:textId="77777777" w:rsidR="001D6981" w:rsidRPr="00087B21" w:rsidRDefault="004F2E8C" w:rsidP="004C5927">
      <w:pPr>
        <w:pStyle w:val="Normal1"/>
        <w:outlineLv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Table 1</w:t>
      </w:r>
    </w:p>
    <w:p w14:paraId="2B15A017" w14:textId="77777777" w:rsidR="001D6981" w:rsidRPr="00087B21" w:rsidRDefault="001D6981">
      <w:pPr>
        <w:pStyle w:val="Normal1"/>
        <w:rPr>
          <w:rFonts w:ascii="Times New Roman" w:hAnsi="Times New Roman" w:cs="Times New Roman"/>
          <w:sz w:val="24"/>
          <w:szCs w:val="24"/>
        </w:rPr>
      </w:pPr>
    </w:p>
    <w:tbl>
      <w:tblPr>
        <w:tblStyle w:val="a"/>
        <w:tblW w:w="9352" w:type="dxa"/>
        <w:tblBorders>
          <w:top w:val="nil"/>
          <w:left w:val="nil"/>
          <w:bottom w:val="nil"/>
          <w:right w:val="nil"/>
          <w:insideH w:val="nil"/>
          <w:insideV w:val="nil"/>
        </w:tblBorders>
        <w:tblLayout w:type="fixed"/>
        <w:tblLook w:val="0600" w:firstRow="0" w:lastRow="0" w:firstColumn="0" w:lastColumn="0" w:noHBand="1" w:noVBand="1"/>
      </w:tblPr>
      <w:tblGrid>
        <w:gridCol w:w="1535"/>
        <w:gridCol w:w="905"/>
        <w:gridCol w:w="956"/>
        <w:gridCol w:w="1185"/>
        <w:gridCol w:w="986"/>
        <w:gridCol w:w="1385"/>
        <w:gridCol w:w="1200"/>
        <w:gridCol w:w="1200"/>
      </w:tblGrid>
      <w:tr w:rsidR="001D6981" w:rsidRPr="00087B21" w14:paraId="32350B32" w14:textId="77777777" w:rsidTr="00087B21">
        <w:trPr>
          <w:trHeight w:val="500"/>
        </w:trPr>
        <w:tc>
          <w:tcPr>
            <w:tcW w:w="1535" w:type="dxa"/>
            <w:tcBorders>
              <w:top w:val="single" w:sz="4" w:space="0" w:color="000000"/>
              <w:left w:val="nil"/>
              <w:bottom w:val="single" w:sz="4" w:space="0" w:color="000000"/>
              <w:right w:val="nil"/>
            </w:tcBorders>
            <w:tcMar>
              <w:top w:w="100" w:type="dxa"/>
              <w:left w:w="100" w:type="dxa"/>
              <w:bottom w:w="100" w:type="dxa"/>
              <w:right w:w="100" w:type="dxa"/>
            </w:tcMar>
          </w:tcPr>
          <w:p w14:paraId="77AB5244"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Design</w:t>
            </w:r>
          </w:p>
        </w:tc>
        <w:tc>
          <w:tcPr>
            <w:tcW w:w="905" w:type="dxa"/>
            <w:tcBorders>
              <w:top w:val="single" w:sz="4" w:space="0" w:color="000000"/>
              <w:left w:val="nil"/>
              <w:bottom w:val="single" w:sz="4" w:space="0" w:color="000000"/>
              <w:right w:val="nil"/>
            </w:tcBorders>
            <w:tcMar>
              <w:top w:w="100" w:type="dxa"/>
              <w:left w:w="100" w:type="dxa"/>
              <w:bottom w:w="100" w:type="dxa"/>
              <w:right w:w="100" w:type="dxa"/>
            </w:tcMar>
          </w:tcPr>
          <w:p w14:paraId="027FF896"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FPR </w:t>
            </w:r>
          </w:p>
          <w:p w14:paraId="02704BF7"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No </w:t>
            </w:r>
            <w:proofErr w:type="spellStart"/>
            <w:r w:rsidRPr="00087B21">
              <w:rPr>
                <w:rFonts w:ascii="Times New Roman" w:eastAsia="Times New Roman" w:hAnsi="Times New Roman" w:cs="Times New Roman"/>
                <w:b/>
                <w:sz w:val="24"/>
                <w:szCs w:val="24"/>
              </w:rPr>
              <w:t>Excl</w:t>
            </w:r>
            <w:proofErr w:type="spellEnd"/>
            <w:r w:rsidRPr="00087B21">
              <w:rPr>
                <w:rFonts w:ascii="Times New Roman" w:eastAsia="Times New Roman" w:hAnsi="Times New Roman" w:cs="Times New Roman"/>
                <w:b/>
                <w:sz w:val="24"/>
                <w:szCs w:val="24"/>
              </w:rPr>
              <w:t xml:space="preserve"> (w/ perm.)</w:t>
            </w:r>
          </w:p>
        </w:tc>
        <w:tc>
          <w:tcPr>
            <w:tcW w:w="956" w:type="dxa"/>
            <w:tcBorders>
              <w:top w:val="single" w:sz="4" w:space="0" w:color="000000"/>
              <w:left w:val="nil"/>
              <w:bottom w:val="single" w:sz="4" w:space="0" w:color="000000"/>
              <w:right w:val="nil"/>
            </w:tcBorders>
            <w:tcMar>
              <w:top w:w="100" w:type="dxa"/>
              <w:left w:w="100" w:type="dxa"/>
              <w:bottom w:w="100" w:type="dxa"/>
              <w:right w:w="100" w:type="dxa"/>
            </w:tcMar>
          </w:tcPr>
          <w:p w14:paraId="291F026C"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FPR </w:t>
            </w:r>
            <w:proofErr w:type="spellStart"/>
            <w:r w:rsidRPr="00087B21">
              <w:rPr>
                <w:rFonts w:ascii="Times New Roman" w:eastAsia="Times New Roman" w:hAnsi="Times New Roman" w:cs="Times New Roman"/>
                <w:b/>
                <w:sz w:val="24"/>
                <w:szCs w:val="24"/>
              </w:rPr>
              <w:t>Excl</w:t>
            </w:r>
            <w:proofErr w:type="spellEnd"/>
            <w:r w:rsidRPr="00087B21">
              <w:rPr>
                <w:rFonts w:ascii="Times New Roman" w:eastAsia="Times New Roman" w:hAnsi="Times New Roman" w:cs="Times New Roman"/>
                <w:b/>
                <w:sz w:val="24"/>
                <w:szCs w:val="24"/>
              </w:rPr>
              <w:t xml:space="preserve"> (w/ perm.)</w:t>
            </w:r>
          </w:p>
        </w:tc>
        <w:tc>
          <w:tcPr>
            <w:tcW w:w="1185" w:type="dxa"/>
            <w:tcBorders>
              <w:top w:val="single" w:sz="4" w:space="0" w:color="000000"/>
              <w:left w:val="nil"/>
              <w:bottom w:val="single" w:sz="4" w:space="0" w:color="000000"/>
              <w:right w:val="nil"/>
            </w:tcBorders>
            <w:tcMar>
              <w:top w:w="100" w:type="dxa"/>
              <w:left w:w="100" w:type="dxa"/>
              <w:bottom w:w="100" w:type="dxa"/>
              <w:right w:w="100" w:type="dxa"/>
            </w:tcMar>
          </w:tcPr>
          <w:p w14:paraId="25ACC2D9"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Power </w:t>
            </w:r>
          </w:p>
          <w:p w14:paraId="6FBBB3F4"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No </w:t>
            </w:r>
            <w:proofErr w:type="spellStart"/>
            <w:r w:rsidRPr="00087B21">
              <w:rPr>
                <w:rFonts w:ascii="Times New Roman" w:eastAsia="Times New Roman" w:hAnsi="Times New Roman" w:cs="Times New Roman"/>
                <w:b/>
                <w:sz w:val="24"/>
                <w:szCs w:val="24"/>
              </w:rPr>
              <w:t>Excl</w:t>
            </w:r>
            <w:proofErr w:type="spellEnd"/>
            <w:r w:rsidRPr="00087B21">
              <w:rPr>
                <w:rFonts w:ascii="Times New Roman" w:eastAsia="Times New Roman" w:hAnsi="Times New Roman" w:cs="Times New Roman"/>
                <w:b/>
                <w:sz w:val="24"/>
                <w:szCs w:val="24"/>
              </w:rPr>
              <w:t xml:space="preserve"> (w/ perm.)</w:t>
            </w:r>
          </w:p>
        </w:tc>
        <w:tc>
          <w:tcPr>
            <w:tcW w:w="986" w:type="dxa"/>
            <w:tcBorders>
              <w:top w:val="single" w:sz="4" w:space="0" w:color="000000"/>
              <w:left w:val="nil"/>
              <w:bottom w:val="single" w:sz="4" w:space="0" w:color="000000"/>
              <w:right w:val="nil"/>
            </w:tcBorders>
            <w:tcMar>
              <w:top w:w="100" w:type="dxa"/>
              <w:left w:w="100" w:type="dxa"/>
              <w:bottom w:w="100" w:type="dxa"/>
              <w:right w:w="100" w:type="dxa"/>
            </w:tcMar>
          </w:tcPr>
          <w:p w14:paraId="0EF38F87"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Power </w:t>
            </w:r>
            <w:proofErr w:type="spellStart"/>
            <w:r w:rsidRPr="00087B21">
              <w:rPr>
                <w:rFonts w:ascii="Times New Roman" w:eastAsia="Times New Roman" w:hAnsi="Times New Roman" w:cs="Times New Roman"/>
                <w:b/>
                <w:sz w:val="24"/>
                <w:szCs w:val="24"/>
              </w:rPr>
              <w:t>Excl</w:t>
            </w:r>
            <w:proofErr w:type="spellEnd"/>
            <w:r w:rsidRPr="00087B21">
              <w:rPr>
                <w:rFonts w:ascii="Times New Roman" w:eastAsia="Times New Roman" w:hAnsi="Times New Roman" w:cs="Times New Roman"/>
                <w:b/>
                <w:sz w:val="24"/>
                <w:szCs w:val="24"/>
              </w:rPr>
              <w:t xml:space="preserve"> (w/ perm.)</w:t>
            </w:r>
          </w:p>
        </w:tc>
        <w:tc>
          <w:tcPr>
            <w:tcW w:w="1385" w:type="dxa"/>
            <w:tcBorders>
              <w:top w:val="single" w:sz="4" w:space="0" w:color="000000"/>
              <w:left w:val="nil"/>
              <w:bottom w:val="single" w:sz="4" w:space="0" w:color="000000"/>
              <w:right w:val="nil"/>
            </w:tcBorders>
            <w:tcMar>
              <w:top w:w="100" w:type="dxa"/>
              <w:left w:w="100" w:type="dxa"/>
              <w:bottom w:w="100" w:type="dxa"/>
              <w:right w:w="100" w:type="dxa"/>
            </w:tcMar>
          </w:tcPr>
          <w:p w14:paraId="30D5F97F" w14:textId="77777777" w:rsidR="001D6981" w:rsidRPr="00087B21" w:rsidRDefault="004F2E8C">
            <w:pPr>
              <w:pStyle w:val="Normal1"/>
              <w:widowControl w:val="0"/>
              <w:rPr>
                <w:rFonts w:ascii="Times New Roman" w:eastAsia="Times New Roman" w:hAnsi="Times New Roman" w:cs="Times New Roman"/>
                <w:b/>
                <w:sz w:val="24"/>
                <w:szCs w:val="24"/>
              </w:rPr>
            </w:pPr>
            <w:proofErr w:type="gramStart"/>
            <w:r w:rsidRPr="00087B21">
              <w:rPr>
                <w:rFonts w:ascii="Times New Roman" w:eastAsia="Times New Roman" w:hAnsi="Times New Roman" w:cs="Times New Roman"/>
                <w:b/>
                <w:sz w:val="24"/>
                <w:szCs w:val="24"/>
              </w:rPr>
              <w:t>p(</w:t>
            </w:r>
            <w:proofErr w:type="spellStart"/>
            <w:proofErr w:type="gramEnd"/>
            <w:r w:rsidRPr="00087B21">
              <w:rPr>
                <w:rFonts w:ascii="Times New Roman" w:eastAsia="Times New Roman" w:hAnsi="Times New Roman" w:cs="Times New Roman"/>
                <w:b/>
                <w:sz w:val="24"/>
                <w:szCs w:val="24"/>
              </w:rPr>
              <w:t>data|no</w:t>
            </w:r>
            <w:proofErr w:type="spellEnd"/>
            <w:r w:rsidRPr="00087B21">
              <w:rPr>
                <w:rFonts w:ascii="Times New Roman" w:eastAsia="Times New Roman" w:hAnsi="Times New Roman" w:cs="Times New Roman"/>
                <w:b/>
                <w:sz w:val="24"/>
                <w:szCs w:val="24"/>
              </w:rPr>
              <w:t xml:space="preserve"> effect) (w/ perm.)</w:t>
            </w:r>
          </w:p>
        </w:tc>
        <w:tc>
          <w:tcPr>
            <w:tcW w:w="1200" w:type="dxa"/>
            <w:tcBorders>
              <w:top w:val="single" w:sz="4" w:space="0" w:color="000000"/>
              <w:left w:val="nil"/>
              <w:bottom w:val="single" w:sz="4" w:space="0" w:color="000000"/>
              <w:right w:val="nil"/>
            </w:tcBorders>
            <w:tcMar>
              <w:top w:w="100" w:type="dxa"/>
              <w:left w:w="100" w:type="dxa"/>
              <w:bottom w:w="100" w:type="dxa"/>
              <w:right w:w="100" w:type="dxa"/>
            </w:tcMar>
          </w:tcPr>
          <w:p w14:paraId="1BD1539B" w14:textId="77777777" w:rsidR="001D6981" w:rsidRPr="00087B21" w:rsidRDefault="004F2E8C">
            <w:pPr>
              <w:pStyle w:val="Normal1"/>
              <w:widowControl w:val="0"/>
              <w:rPr>
                <w:rFonts w:ascii="Times New Roman" w:eastAsia="Times New Roman" w:hAnsi="Times New Roman" w:cs="Times New Roman"/>
                <w:b/>
                <w:sz w:val="24"/>
                <w:szCs w:val="24"/>
              </w:rPr>
            </w:pPr>
            <w:proofErr w:type="gramStart"/>
            <w:r w:rsidRPr="00087B21">
              <w:rPr>
                <w:rFonts w:ascii="Times New Roman" w:eastAsia="Times New Roman" w:hAnsi="Times New Roman" w:cs="Times New Roman"/>
                <w:b/>
                <w:sz w:val="24"/>
                <w:szCs w:val="24"/>
              </w:rPr>
              <w:t>p(</w:t>
            </w:r>
            <w:proofErr w:type="gramEnd"/>
            <w:r w:rsidRPr="00087B21">
              <w:rPr>
                <w:rFonts w:ascii="Times New Roman" w:eastAsia="Times New Roman" w:hAnsi="Times New Roman" w:cs="Times New Roman"/>
                <w:b/>
                <w:sz w:val="24"/>
                <w:szCs w:val="24"/>
              </w:rPr>
              <w:t>data|</w:t>
            </w:r>
          </w:p>
          <w:p w14:paraId="48812C50"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effect) (w/ perm.)</w:t>
            </w:r>
          </w:p>
        </w:tc>
        <w:tc>
          <w:tcPr>
            <w:tcW w:w="1200" w:type="dxa"/>
            <w:tcBorders>
              <w:top w:val="single" w:sz="4" w:space="0" w:color="000000"/>
              <w:left w:val="nil"/>
              <w:bottom w:val="single" w:sz="4" w:space="0" w:color="000000"/>
              <w:right w:val="nil"/>
            </w:tcBorders>
            <w:tcMar>
              <w:top w:w="100" w:type="dxa"/>
              <w:left w:w="100" w:type="dxa"/>
              <w:bottom w:w="100" w:type="dxa"/>
              <w:right w:w="100" w:type="dxa"/>
            </w:tcMar>
          </w:tcPr>
          <w:p w14:paraId="1E8DCC16" w14:textId="77777777" w:rsidR="001D6981" w:rsidRPr="00087B21" w:rsidRDefault="004F2E8C">
            <w:pPr>
              <w:pStyle w:val="Normal1"/>
              <w:widowControl w:val="0"/>
              <w:rPr>
                <w:rFonts w:ascii="Times New Roman" w:eastAsia="Times New Roman" w:hAnsi="Times New Roman" w:cs="Times New Roman"/>
                <w:b/>
                <w:sz w:val="24"/>
                <w:szCs w:val="24"/>
              </w:rPr>
            </w:pPr>
            <w:proofErr w:type="gramStart"/>
            <w:r w:rsidRPr="00087B21">
              <w:rPr>
                <w:rFonts w:ascii="Times New Roman" w:eastAsia="Times New Roman" w:hAnsi="Times New Roman" w:cs="Times New Roman"/>
                <w:b/>
                <w:sz w:val="24"/>
                <w:szCs w:val="24"/>
              </w:rPr>
              <w:t>p(</w:t>
            </w:r>
            <w:proofErr w:type="gramEnd"/>
            <w:r w:rsidRPr="00087B21">
              <w:rPr>
                <w:rFonts w:ascii="Times New Roman" w:eastAsia="Times New Roman" w:hAnsi="Times New Roman" w:cs="Times New Roman"/>
                <w:b/>
                <w:sz w:val="24"/>
                <w:szCs w:val="24"/>
              </w:rPr>
              <w:t>effect|</w:t>
            </w:r>
          </w:p>
          <w:p w14:paraId="40DB255C"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data) (w/ perm.)</w:t>
            </w:r>
          </w:p>
        </w:tc>
      </w:tr>
      <w:tr w:rsidR="001D6981" w:rsidRPr="00087B21" w14:paraId="4791EA97" w14:textId="77777777" w:rsidTr="00087B21">
        <w:trPr>
          <w:trHeight w:val="500"/>
        </w:trPr>
        <w:tc>
          <w:tcPr>
            <w:tcW w:w="1535" w:type="dxa"/>
            <w:tcBorders>
              <w:top w:val="nil"/>
              <w:left w:val="nil"/>
              <w:bottom w:val="nil"/>
              <w:right w:val="nil"/>
            </w:tcBorders>
            <w:shd w:val="clear" w:color="auto" w:fill="D9D9D9"/>
            <w:tcMar>
              <w:top w:w="100" w:type="dxa"/>
              <w:left w:w="100" w:type="dxa"/>
              <w:bottom w:w="100" w:type="dxa"/>
              <w:right w:w="100" w:type="dxa"/>
            </w:tcMar>
          </w:tcPr>
          <w:p w14:paraId="37FB4FA9"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Between-</w:t>
            </w:r>
          </w:p>
          <w:p w14:paraId="3F2BDFB6"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Subjects</w:t>
            </w:r>
          </w:p>
        </w:tc>
        <w:tc>
          <w:tcPr>
            <w:tcW w:w="905" w:type="dxa"/>
            <w:tcBorders>
              <w:top w:val="nil"/>
              <w:left w:val="nil"/>
              <w:bottom w:val="nil"/>
              <w:right w:val="nil"/>
            </w:tcBorders>
            <w:shd w:val="clear" w:color="auto" w:fill="D9D9D9"/>
            <w:tcMar>
              <w:top w:w="100" w:type="dxa"/>
              <w:left w:w="100" w:type="dxa"/>
              <w:bottom w:w="100" w:type="dxa"/>
              <w:right w:w="100" w:type="dxa"/>
            </w:tcMar>
          </w:tcPr>
          <w:p w14:paraId="11321061"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0.046 (0.053)</w:t>
            </w:r>
          </w:p>
        </w:tc>
        <w:tc>
          <w:tcPr>
            <w:tcW w:w="956" w:type="dxa"/>
            <w:tcBorders>
              <w:top w:val="nil"/>
              <w:left w:val="nil"/>
              <w:bottom w:val="nil"/>
              <w:right w:val="nil"/>
            </w:tcBorders>
            <w:shd w:val="clear" w:color="auto" w:fill="D9D9D9"/>
            <w:tcMar>
              <w:top w:w="100" w:type="dxa"/>
              <w:left w:w="100" w:type="dxa"/>
              <w:bottom w:w="100" w:type="dxa"/>
              <w:right w:w="100" w:type="dxa"/>
            </w:tcMar>
          </w:tcPr>
          <w:p w14:paraId="48AB02C0"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0.048 (0.053)</w:t>
            </w:r>
          </w:p>
        </w:tc>
        <w:tc>
          <w:tcPr>
            <w:tcW w:w="1185" w:type="dxa"/>
            <w:tcBorders>
              <w:top w:val="nil"/>
              <w:left w:val="nil"/>
              <w:bottom w:val="nil"/>
              <w:right w:val="nil"/>
            </w:tcBorders>
            <w:shd w:val="clear" w:color="auto" w:fill="D9D9D9"/>
            <w:tcMar>
              <w:top w:w="100" w:type="dxa"/>
              <w:left w:w="100" w:type="dxa"/>
              <w:bottom w:w="100" w:type="dxa"/>
              <w:right w:w="100" w:type="dxa"/>
            </w:tcMar>
          </w:tcPr>
          <w:p w14:paraId="63954B5A"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0.304 (0.315)</w:t>
            </w:r>
          </w:p>
        </w:tc>
        <w:tc>
          <w:tcPr>
            <w:tcW w:w="986" w:type="dxa"/>
            <w:tcBorders>
              <w:top w:val="nil"/>
              <w:left w:val="nil"/>
              <w:bottom w:val="nil"/>
              <w:right w:val="nil"/>
            </w:tcBorders>
            <w:shd w:val="clear" w:color="auto" w:fill="D9D9D9"/>
            <w:tcMar>
              <w:top w:w="100" w:type="dxa"/>
              <w:left w:w="100" w:type="dxa"/>
              <w:bottom w:w="100" w:type="dxa"/>
              <w:right w:w="100" w:type="dxa"/>
            </w:tcMar>
          </w:tcPr>
          <w:p w14:paraId="7178A019"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0.409 (0.420)</w:t>
            </w:r>
          </w:p>
        </w:tc>
        <w:tc>
          <w:tcPr>
            <w:tcW w:w="1385" w:type="dxa"/>
            <w:tcBorders>
              <w:top w:val="nil"/>
              <w:left w:val="nil"/>
              <w:bottom w:val="nil"/>
              <w:right w:val="nil"/>
            </w:tcBorders>
            <w:shd w:val="clear" w:color="auto" w:fill="D9D9D9"/>
            <w:tcMar>
              <w:top w:w="100" w:type="dxa"/>
              <w:left w:w="100" w:type="dxa"/>
              <w:bottom w:w="100" w:type="dxa"/>
              <w:right w:w="100" w:type="dxa"/>
            </w:tcMar>
          </w:tcPr>
          <w:p w14:paraId="15B5AF7C" w14:textId="77777777" w:rsidR="004F2E8C"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0.029</w:t>
            </w:r>
          </w:p>
          <w:p w14:paraId="3BA2C835" w14:textId="7B82DFEE"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(0.037)</w:t>
            </w:r>
          </w:p>
        </w:tc>
        <w:tc>
          <w:tcPr>
            <w:tcW w:w="1200" w:type="dxa"/>
            <w:tcBorders>
              <w:top w:val="nil"/>
              <w:left w:val="nil"/>
              <w:bottom w:val="nil"/>
              <w:right w:val="nil"/>
            </w:tcBorders>
            <w:shd w:val="clear" w:color="auto" w:fill="D9D9D9"/>
            <w:tcMar>
              <w:top w:w="100" w:type="dxa"/>
              <w:left w:w="100" w:type="dxa"/>
              <w:bottom w:w="100" w:type="dxa"/>
              <w:right w:w="100" w:type="dxa"/>
            </w:tcMar>
          </w:tcPr>
          <w:p w14:paraId="6EE76D19"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0.089 (0.088)</w:t>
            </w:r>
          </w:p>
        </w:tc>
        <w:tc>
          <w:tcPr>
            <w:tcW w:w="1200" w:type="dxa"/>
            <w:tcBorders>
              <w:top w:val="nil"/>
              <w:left w:val="nil"/>
              <w:bottom w:val="nil"/>
              <w:right w:val="nil"/>
            </w:tcBorders>
            <w:shd w:val="clear" w:color="auto" w:fill="D9D9D9"/>
            <w:tcMar>
              <w:top w:w="100" w:type="dxa"/>
              <w:left w:w="100" w:type="dxa"/>
              <w:bottom w:w="100" w:type="dxa"/>
              <w:right w:w="100" w:type="dxa"/>
            </w:tcMar>
          </w:tcPr>
          <w:p w14:paraId="3F513BBD"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 xml:space="preserve">0.754 </w:t>
            </w:r>
          </w:p>
          <w:p w14:paraId="2A6D8B9E"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(0.704)</w:t>
            </w:r>
          </w:p>
        </w:tc>
      </w:tr>
      <w:tr w:rsidR="001D6981" w:rsidRPr="00087B21" w14:paraId="21AE3555" w14:textId="77777777" w:rsidTr="00087B21">
        <w:trPr>
          <w:trHeight w:val="500"/>
        </w:trPr>
        <w:tc>
          <w:tcPr>
            <w:tcW w:w="1535" w:type="dxa"/>
            <w:tcBorders>
              <w:top w:val="nil"/>
              <w:left w:val="nil"/>
              <w:bottom w:val="nil"/>
              <w:right w:val="nil"/>
            </w:tcBorders>
            <w:tcMar>
              <w:top w:w="100" w:type="dxa"/>
              <w:left w:w="100" w:type="dxa"/>
              <w:bottom w:w="100" w:type="dxa"/>
              <w:right w:w="100" w:type="dxa"/>
            </w:tcMar>
          </w:tcPr>
          <w:p w14:paraId="43E1738E"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Double-</w:t>
            </w:r>
          </w:p>
          <w:p w14:paraId="3B1ADA1D"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Repeat</w:t>
            </w:r>
          </w:p>
        </w:tc>
        <w:tc>
          <w:tcPr>
            <w:tcW w:w="905" w:type="dxa"/>
            <w:tcMar>
              <w:top w:w="100" w:type="dxa"/>
              <w:left w:w="100" w:type="dxa"/>
              <w:bottom w:w="100" w:type="dxa"/>
              <w:right w:w="100" w:type="dxa"/>
            </w:tcMar>
          </w:tcPr>
          <w:p w14:paraId="102E67F9"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0.121 (0.085)</w:t>
            </w:r>
          </w:p>
        </w:tc>
        <w:tc>
          <w:tcPr>
            <w:tcW w:w="956" w:type="dxa"/>
            <w:tcMar>
              <w:top w:w="100" w:type="dxa"/>
              <w:left w:w="100" w:type="dxa"/>
              <w:bottom w:w="100" w:type="dxa"/>
              <w:right w:w="100" w:type="dxa"/>
            </w:tcMar>
          </w:tcPr>
          <w:p w14:paraId="5F578256"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0.081 (0.026)</w:t>
            </w:r>
          </w:p>
        </w:tc>
        <w:tc>
          <w:tcPr>
            <w:tcW w:w="1185" w:type="dxa"/>
            <w:tcMar>
              <w:top w:w="100" w:type="dxa"/>
              <w:left w:w="100" w:type="dxa"/>
              <w:bottom w:w="100" w:type="dxa"/>
              <w:right w:w="100" w:type="dxa"/>
            </w:tcMar>
          </w:tcPr>
          <w:p w14:paraId="3B301700"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0.372 (0.348)</w:t>
            </w:r>
          </w:p>
        </w:tc>
        <w:tc>
          <w:tcPr>
            <w:tcW w:w="986" w:type="dxa"/>
            <w:tcMar>
              <w:top w:w="100" w:type="dxa"/>
              <w:left w:w="100" w:type="dxa"/>
              <w:bottom w:w="100" w:type="dxa"/>
              <w:right w:w="100" w:type="dxa"/>
            </w:tcMar>
          </w:tcPr>
          <w:p w14:paraId="3EEF3B35"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0.308 (0.189)</w:t>
            </w:r>
          </w:p>
        </w:tc>
        <w:tc>
          <w:tcPr>
            <w:tcW w:w="1385" w:type="dxa"/>
            <w:tcMar>
              <w:top w:w="100" w:type="dxa"/>
              <w:left w:w="100" w:type="dxa"/>
              <w:bottom w:w="100" w:type="dxa"/>
              <w:right w:w="100" w:type="dxa"/>
            </w:tcMar>
          </w:tcPr>
          <w:p w14:paraId="7ABF42C8"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0.075 (0.069)</w:t>
            </w:r>
          </w:p>
        </w:tc>
        <w:tc>
          <w:tcPr>
            <w:tcW w:w="1200" w:type="dxa"/>
            <w:tcMar>
              <w:top w:w="100" w:type="dxa"/>
              <w:left w:w="100" w:type="dxa"/>
              <w:bottom w:w="100" w:type="dxa"/>
              <w:right w:w="100" w:type="dxa"/>
            </w:tcMar>
          </w:tcPr>
          <w:p w14:paraId="1671ED64"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0.161 (0.203)</w:t>
            </w:r>
          </w:p>
        </w:tc>
        <w:tc>
          <w:tcPr>
            <w:tcW w:w="1200" w:type="dxa"/>
            <w:tcMar>
              <w:top w:w="100" w:type="dxa"/>
              <w:left w:w="100" w:type="dxa"/>
              <w:bottom w:w="100" w:type="dxa"/>
              <w:right w:w="100" w:type="dxa"/>
            </w:tcMar>
          </w:tcPr>
          <w:p w14:paraId="2BACDD30"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0.682 (0.746)</w:t>
            </w:r>
          </w:p>
        </w:tc>
      </w:tr>
      <w:tr w:rsidR="001D6981" w:rsidRPr="00087B21" w14:paraId="7A946694" w14:textId="77777777" w:rsidTr="00087B21">
        <w:trPr>
          <w:trHeight w:val="500"/>
        </w:trPr>
        <w:tc>
          <w:tcPr>
            <w:tcW w:w="1535" w:type="dxa"/>
            <w:tcBorders>
              <w:top w:val="nil"/>
              <w:left w:val="nil"/>
              <w:bottom w:val="nil"/>
              <w:right w:val="nil"/>
            </w:tcBorders>
            <w:shd w:val="clear" w:color="auto" w:fill="D9D9D9"/>
            <w:tcMar>
              <w:top w:w="100" w:type="dxa"/>
              <w:left w:w="100" w:type="dxa"/>
              <w:bottom w:w="100" w:type="dxa"/>
              <w:right w:w="100" w:type="dxa"/>
            </w:tcMar>
          </w:tcPr>
          <w:p w14:paraId="3340CEE1"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Within-</w:t>
            </w:r>
          </w:p>
          <w:p w14:paraId="584D4EC6"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Subjects </w:t>
            </w:r>
          </w:p>
          <w:p w14:paraId="28D3F53F"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n = 27</w:t>
            </w:r>
          </w:p>
        </w:tc>
        <w:tc>
          <w:tcPr>
            <w:tcW w:w="905" w:type="dxa"/>
            <w:tcBorders>
              <w:top w:val="nil"/>
              <w:left w:val="nil"/>
              <w:bottom w:val="nil"/>
              <w:right w:val="nil"/>
            </w:tcBorders>
            <w:shd w:val="clear" w:color="auto" w:fill="D9D9D9"/>
            <w:tcMar>
              <w:top w:w="100" w:type="dxa"/>
              <w:left w:w="100" w:type="dxa"/>
              <w:bottom w:w="100" w:type="dxa"/>
              <w:right w:w="100" w:type="dxa"/>
            </w:tcMar>
          </w:tcPr>
          <w:p w14:paraId="66743A44"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0.053 (0.069)</w:t>
            </w:r>
          </w:p>
        </w:tc>
        <w:tc>
          <w:tcPr>
            <w:tcW w:w="956" w:type="dxa"/>
            <w:tcBorders>
              <w:top w:val="nil"/>
              <w:left w:val="nil"/>
              <w:bottom w:val="nil"/>
              <w:right w:val="nil"/>
            </w:tcBorders>
            <w:shd w:val="clear" w:color="auto" w:fill="D9D9D9"/>
            <w:tcMar>
              <w:top w:w="100" w:type="dxa"/>
              <w:left w:w="100" w:type="dxa"/>
              <w:bottom w:w="100" w:type="dxa"/>
              <w:right w:w="100" w:type="dxa"/>
            </w:tcMar>
          </w:tcPr>
          <w:p w14:paraId="13EC2E61"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0.053 (0.070)</w:t>
            </w:r>
          </w:p>
        </w:tc>
        <w:tc>
          <w:tcPr>
            <w:tcW w:w="1185" w:type="dxa"/>
            <w:tcBorders>
              <w:top w:val="nil"/>
              <w:left w:val="nil"/>
              <w:bottom w:val="nil"/>
              <w:right w:val="nil"/>
            </w:tcBorders>
            <w:shd w:val="clear" w:color="auto" w:fill="D9D9D9"/>
            <w:tcMar>
              <w:top w:w="100" w:type="dxa"/>
              <w:left w:w="100" w:type="dxa"/>
              <w:bottom w:w="100" w:type="dxa"/>
              <w:right w:w="100" w:type="dxa"/>
            </w:tcMar>
          </w:tcPr>
          <w:p w14:paraId="66BBF363"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0.388 (0.425)</w:t>
            </w:r>
          </w:p>
        </w:tc>
        <w:tc>
          <w:tcPr>
            <w:tcW w:w="986" w:type="dxa"/>
            <w:tcBorders>
              <w:top w:val="nil"/>
              <w:left w:val="nil"/>
              <w:bottom w:val="nil"/>
              <w:right w:val="nil"/>
            </w:tcBorders>
            <w:shd w:val="clear" w:color="auto" w:fill="D9D9D9"/>
            <w:tcMar>
              <w:top w:w="100" w:type="dxa"/>
              <w:left w:w="100" w:type="dxa"/>
              <w:bottom w:w="100" w:type="dxa"/>
              <w:right w:w="100" w:type="dxa"/>
            </w:tcMar>
          </w:tcPr>
          <w:p w14:paraId="537506FD"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0.567 (0.604)</w:t>
            </w:r>
          </w:p>
        </w:tc>
        <w:tc>
          <w:tcPr>
            <w:tcW w:w="1385" w:type="dxa"/>
            <w:tcBorders>
              <w:top w:val="nil"/>
              <w:left w:val="nil"/>
              <w:bottom w:val="nil"/>
              <w:right w:val="nil"/>
            </w:tcBorders>
            <w:shd w:val="clear" w:color="auto" w:fill="D9D9D9"/>
            <w:tcMar>
              <w:top w:w="100" w:type="dxa"/>
              <w:left w:w="100" w:type="dxa"/>
              <w:bottom w:w="100" w:type="dxa"/>
              <w:right w:w="100" w:type="dxa"/>
            </w:tcMar>
          </w:tcPr>
          <w:p w14:paraId="4B99F293"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0.038 (0.049)</w:t>
            </w:r>
          </w:p>
        </w:tc>
        <w:tc>
          <w:tcPr>
            <w:tcW w:w="1200" w:type="dxa"/>
            <w:tcBorders>
              <w:top w:val="nil"/>
              <w:left w:val="nil"/>
              <w:bottom w:val="nil"/>
              <w:right w:val="nil"/>
            </w:tcBorders>
            <w:shd w:val="clear" w:color="auto" w:fill="D9D9D9"/>
            <w:tcMar>
              <w:top w:w="100" w:type="dxa"/>
              <w:left w:w="100" w:type="dxa"/>
              <w:bottom w:w="100" w:type="dxa"/>
              <w:right w:w="100" w:type="dxa"/>
            </w:tcMar>
          </w:tcPr>
          <w:p w14:paraId="6BFBC2FF"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0.101 (0.098)</w:t>
            </w:r>
          </w:p>
        </w:tc>
        <w:tc>
          <w:tcPr>
            <w:tcW w:w="1200" w:type="dxa"/>
            <w:tcBorders>
              <w:top w:val="nil"/>
              <w:left w:val="nil"/>
              <w:bottom w:val="nil"/>
              <w:right w:val="nil"/>
            </w:tcBorders>
            <w:shd w:val="clear" w:color="auto" w:fill="D9D9D9"/>
            <w:tcMar>
              <w:top w:w="100" w:type="dxa"/>
              <w:left w:w="100" w:type="dxa"/>
              <w:bottom w:w="100" w:type="dxa"/>
              <w:right w:w="100" w:type="dxa"/>
            </w:tcMar>
          </w:tcPr>
          <w:p w14:paraId="3474A96C"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0.727 (0.667)</w:t>
            </w:r>
          </w:p>
        </w:tc>
      </w:tr>
      <w:tr w:rsidR="001D6981" w:rsidRPr="00087B21" w14:paraId="1099CA53" w14:textId="77777777" w:rsidTr="00087B21">
        <w:trPr>
          <w:trHeight w:val="500"/>
        </w:trPr>
        <w:tc>
          <w:tcPr>
            <w:tcW w:w="1535" w:type="dxa"/>
            <w:tcBorders>
              <w:top w:val="nil"/>
              <w:left w:val="nil"/>
              <w:bottom w:val="single" w:sz="4" w:space="0" w:color="000000"/>
              <w:right w:val="nil"/>
            </w:tcBorders>
            <w:tcMar>
              <w:top w:w="100" w:type="dxa"/>
              <w:left w:w="100" w:type="dxa"/>
              <w:bottom w:w="100" w:type="dxa"/>
              <w:right w:w="100" w:type="dxa"/>
            </w:tcMar>
          </w:tcPr>
          <w:p w14:paraId="2A302D82"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Within-</w:t>
            </w:r>
          </w:p>
          <w:p w14:paraId="154EA3E1"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 xml:space="preserve">Subjects </w:t>
            </w:r>
          </w:p>
          <w:p w14:paraId="04F1A571" w14:textId="77777777" w:rsidR="001D6981" w:rsidRPr="00087B21" w:rsidRDefault="004F2E8C">
            <w:pPr>
              <w:pStyle w:val="Normal1"/>
              <w:widowControl w:val="0"/>
              <w:rPr>
                <w:rFonts w:ascii="Times New Roman" w:eastAsia="Times New Roman" w:hAnsi="Times New Roman" w:cs="Times New Roman"/>
                <w:b/>
                <w:sz w:val="24"/>
                <w:szCs w:val="24"/>
              </w:rPr>
            </w:pPr>
            <w:r w:rsidRPr="00087B21">
              <w:rPr>
                <w:rFonts w:ascii="Times New Roman" w:eastAsia="Times New Roman" w:hAnsi="Times New Roman" w:cs="Times New Roman"/>
                <w:b/>
                <w:sz w:val="24"/>
                <w:szCs w:val="24"/>
              </w:rPr>
              <w:t>n = 20</w:t>
            </w:r>
          </w:p>
        </w:tc>
        <w:tc>
          <w:tcPr>
            <w:tcW w:w="905" w:type="dxa"/>
            <w:tcBorders>
              <w:top w:val="nil"/>
              <w:left w:val="nil"/>
              <w:bottom w:val="single" w:sz="4" w:space="0" w:color="000000"/>
              <w:right w:val="nil"/>
            </w:tcBorders>
            <w:tcMar>
              <w:top w:w="100" w:type="dxa"/>
              <w:left w:w="100" w:type="dxa"/>
              <w:bottom w:w="100" w:type="dxa"/>
              <w:right w:w="100" w:type="dxa"/>
            </w:tcMar>
          </w:tcPr>
          <w:p w14:paraId="45648417"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0.042 (0.064)</w:t>
            </w:r>
          </w:p>
        </w:tc>
        <w:tc>
          <w:tcPr>
            <w:tcW w:w="956" w:type="dxa"/>
            <w:tcBorders>
              <w:top w:val="nil"/>
              <w:left w:val="nil"/>
              <w:bottom w:val="single" w:sz="4" w:space="0" w:color="000000"/>
              <w:right w:val="nil"/>
            </w:tcBorders>
            <w:tcMar>
              <w:top w:w="100" w:type="dxa"/>
              <w:left w:w="100" w:type="dxa"/>
              <w:bottom w:w="100" w:type="dxa"/>
              <w:right w:w="100" w:type="dxa"/>
            </w:tcMar>
          </w:tcPr>
          <w:p w14:paraId="3C2C4E5B"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0.048 (0.067)</w:t>
            </w:r>
          </w:p>
        </w:tc>
        <w:tc>
          <w:tcPr>
            <w:tcW w:w="1185" w:type="dxa"/>
            <w:tcBorders>
              <w:top w:val="nil"/>
              <w:left w:val="nil"/>
              <w:bottom w:val="single" w:sz="4" w:space="0" w:color="000000"/>
              <w:right w:val="nil"/>
            </w:tcBorders>
            <w:tcMar>
              <w:top w:w="100" w:type="dxa"/>
              <w:left w:w="100" w:type="dxa"/>
              <w:bottom w:w="100" w:type="dxa"/>
              <w:right w:w="100" w:type="dxa"/>
            </w:tcMar>
          </w:tcPr>
          <w:p w14:paraId="0AC6D766"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0.311 (0.363)</w:t>
            </w:r>
          </w:p>
        </w:tc>
        <w:tc>
          <w:tcPr>
            <w:tcW w:w="986" w:type="dxa"/>
            <w:tcBorders>
              <w:top w:val="nil"/>
              <w:left w:val="nil"/>
              <w:bottom w:val="single" w:sz="4" w:space="0" w:color="000000"/>
              <w:right w:val="nil"/>
            </w:tcBorders>
            <w:tcMar>
              <w:top w:w="100" w:type="dxa"/>
              <w:left w:w="100" w:type="dxa"/>
              <w:bottom w:w="100" w:type="dxa"/>
              <w:right w:w="100" w:type="dxa"/>
            </w:tcMar>
          </w:tcPr>
          <w:p w14:paraId="09420B78"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0.432 (0.453)</w:t>
            </w:r>
          </w:p>
        </w:tc>
        <w:tc>
          <w:tcPr>
            <w:tcW w:w="1385" w:type="dxa"/>
            <w:tcBorders>
              <w:top w:val="nil"/>
              <w:left w:val="nil"/>
              <w:bottom w:val="single" w:sz="4" w:space="0" w:color="000000"/>
              <w:right w:val="nil"/>
            </w:tcBorders>
            <w:tcMar>
              <w:top w:w="100" w:type="dxa"/>
              <w:left w:w="100" w:type="dxa"/>
              <w:bottom w:w="100" w:type="dxa"/>
              <w:right w:w="100" w:type="dxa"/>
            </w:tcMar>
          </w:tcPr>
          <w:p w14:paraId="45BEC2E6"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0.029 (0.044)</w:t>
            </w:r>
          </w:p>
        </w:tc>
        <w:tc>
          <w:tcPr>
            <w:tcW w:w="1200" w:type="dxa"/>
            <w:tcBorders>
              <w:top w:val="nil"/>
              <w:left w:val="nil"/>
              <w:bottom w:val="single" w:sz="4" w:space="0" w:color="000000"/>
              <w:right w:val="nil"/>
            </w:tcBorders>
            <w:tcMar>
              <w:top w:w="100" w:type="dxa"/>
              <w:left w:w="100" w:type="dxa"/>
              <w:bottom w:w="100" w:type="dxa"/>
              <w:right w:w="100" w:type="dxa"/>
            </w:tcMar>
          </w:tcPr>
          <w:p w14:paraId="4247D642"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0.118 (0.135)</w:t>
            </w:r>
          </w:p>
        </w:tc>
        <w:tc>
          <w:tcPr>
            <w:tcW w:w="1200" w:type="dxa"/>
            <w:tcBorders>
              <w:top w:val="nil"/>
              <w:left w:val="nil"/>
              <w:bottom w:val="single" w:sz="4" w:space="0" w:color="000000"/>
              <w:right w:val="nil"/>
            </w:tcBorders>
            <w:tcMar>
              <w:top w:w="100" w:type="dxa"/>
              <w:left w:w="100" w:type="dxa"/>
              <w:bottom w:w="100" w:type="dxa"/>
              <w:right w:w="100" w:type="dxa"/>
            </w:tcMar>
          </w:tcPr>
          <w:p w14:paraId="58F3809C" w14:textId="77777777" w:rsidR="001D6981" w:rsidRPr="00087B21" w:rsidRDefault="004F2E8C">
            <w:pPr>
              <w:pStyle w:val="Normal1"/>
              <w:widowControl w:val="0"/>
              <w:rPr>
                <w:rFonts w:ascii="Times New Roman" w:eastAsia="Times New Roman" w:hAnsi="Times New Roman" w:cs="Times New Roman"/>
                <w:sz w:val="24"/>
                <w:szCs w:val="24"/>
              </w:rPr>
            </w:pPr>
            <w:r w:rsidRPr="00087B21">
              <w:rPr>
                <w:rFonts w:ascii="Times New Roman" w:eastAsia="Times New Roman" w:hAnsi="Times New Roman" w:cs="Times New Roman"/>
                <w:sz w:val="24"/>
                <w:szCs w:val="24"/>
              </w:rPr>
              <w:t>0.803 (0.754)</w:t>
            </w:r>
          </w:p>
        </w:tc>
      </w:tr>
    </w:tbl>
    <w:p w14:paraId="76F389F9" w14:textId="77777777" w:rsidR="001D6981" w:rsidRPr="00087B21" w:rsidRDefault="001D6981">
      <w:pPr>
        <w:pStyle w:val="Normal1"/>
        <w:rPr>
          <w:rFonts w:ascii="Times New Roman" w:hAnsi="Times New Roman" w:cs="Times New Roman"/>
          <w:sz w:val="24"/>
          <w:szCs w:val="24"/>
        </w:rPr>
      </w:pPr>
    </w:p>
    <w:p w14:paraId="7800FBA8" w14:textId="54E089AA" w:rsidR="001D6981" w:rsidRPr="00087B21" w:rsidRDefault="004F2E8C">
      <w:pPr>
        <w:pStyle w:val="Normal1"/>
        <w:rPr>
          <w:rFonts w:ascii="Times New Roman" w:eastAsia="Times New Roman" w:hAnsi="Times New Roman" w:cs="Times New Roman"/>
          <w:sz w:val="24"/>
          <w:szCs w:val="24"/>
        </w:rPr>
      </w:pPr>
      <w:r w:rsidRPr="00087B21">
        <w:rPr>
          <w:rFonts w:ascii="Times New Roman" w:eastAsia="Times New Roman" w:hAnsi="Times New Roman" w:cs="Times New Roman"/>
          <w:b/>
          <w:sz w:val="24"/>
          <w:szCs w:val="24"/>
        </w:rPr>
        <w:t>Table 1. False positive rates, statistical power, and other related values as a function of subject exclusion and experimental design.</w:t>
      </w:r>
      <w:r w:rsidRPr="00087B21">
        <w:rPr>
          <w:rFonts w:ascii="Times New Roman" w:eastAsia="Times New Roman" w:hAnsi="Times New Roman" w:cs="Times New Roman"/>
          <w:sz w:val="24"/>
          <w:szCs w:val="24"/>
        </w:rPr>
        <w:t xml:space="preserve"> FPR No </w:t>
      </w:r>
      <w:proofErr w:type="spellStart"/>
      <w:r w:rsidRPr="00087B21">
        <w:rPr>
          <w:rFonts w:ascii="Times New Roman" w:eastAsia="Times New Roman" w:hAnsi="Times New Roman" w:cs="Times New Roman"/>
          <w:sz w:val="24"/>
          <w:szCs w:val="24"/>
        </w:rPr>
        <w:t>Excl</w:t>
      </w:r>
      <w:proofErr w:type="spellEnd"/>
      <w:r w:rsidRPr="00087B21">
        <w:rPr>
          <w:rFonts w:ascii="Times New Roman" w:eastAsia="Times New Roman" w:hAnsi="Times New Roman" w:cs="Times New Roman"/>
          <w:sz w:val="24"/>
          <w:szCs w:val="24"/>
        </w:rPr>
        <w:t xml:space="preserve">: false positive rates with no subject exclusion. FPR </w:t>
      </w:r>
      <w:proofErr w:type="spellStart"/>
      <w:r w:rsidRPr="00087B21">
        <w:rPr>
          <w:rFonts w:ascii="Times New Roman" w:eastAsia="Times New Roman" w:hAnsi="Times New Roman" w:cs="Times New Roman"/>
          <w:sz w:val="24"/>
          <w:szCs w:val="24"/>
        </w:rPr>
        <w:t>Excl</w:t>
      </w:r>
      <w:proofErr w:type="spellEnd"/>
      <w:r w:rsidRPr="00087B21">
        <w:rPr>
          <w:rFonts w:ascii="Times New Roman" w:eastAsia="Times New Roman" w:hAnsi="Times New Roman" w:cs="Times New Roman"/>
          <w:sz w:val="24"/>
          <w:szCs w:val="24"/>
        </w:rPr>
        <w:t xml:space="preserve">: false positive rates after exclusion. Power No </w:t>
      </w:r>
      <w:proofErr w:type="spellStart"/>
      <w:r w:rsidRPr="00087B21">
        <w:rPr>
          <w:rFonts w:ascii="Times New Roman" w:eastAsia="Times New Roman" w:hAnsi="Times New Roman" w:cs="Times New Roman"/>
          <w:sz w:val="24"/>
          <w:szCs w:val="24"/>
        </w:rPr>
        <w:t>Excl</w:t>
      </w:r>
      <w:proofErr w:type="spellEnd"/>
      <w:r w:rsidRPr="00087B21">
        <w:rPr>
          <w:rFonts w:ascii="Times New Roman" w:eastAsia="Times New Roman" w:hAnsi="Times New Roman" w:cs="Times New Roman"/>
          <w:sz w:val="24"/>
          <w:szCs w:val="24"/>
        </w:rPr>
        <w:t xml:space="preserve">: statistical power with no exclusion. Power </w:t>
      </w:r>
      <w:proofErr w:type="spellStart"/>
      <w:r w:rsidRPr="00087B21">
        <w:rPr>
          <w:rFonts w:ascii="Times New Roman" w:eastAsia="Times New Roman" w:hAnsi="Times New Roman" w:cs="Times New Roman"/>
          <w:sz w:val="24"/>
          <w:szCs w:val="24"/>
        </w:rPr>
        <w:t>Excl</w:t>
      </w:r>
      <w:proofErr w:type="spellEnd"/>
      <w:r w:rsidRPr="00087B21">
        <w:rPr>
          <w:rFonts w:ascii="Times New Roman" w:eastAsia="Times New Roman" w:hAnsi="Times New Roman" w:cs="Times New Roman"/>
          <w:sz w:val="24"/>
          <w:szCs w:val="24"/>
        </w:rPr>
        <w:t xml:space="preserve">: power after exclusion. </w:t>
      </w:r>
      <w:proofErr w:type="gramStart"/>
      <w:r w:rsidRPr="00087B21">
        <w:rPr>
          <w:rFonts w:ascii="Times New Roman" w:eastAsia="Times New Roman" w:hAnsi="Times New Roman" w:cs="Times New Roman"/>
          <w:sz w:val="24"/>
          <w:szCs w:val="24"/>
        </w:rPr>
        <w:t>p(</w:t>
      </w:r>
      <w:proofErr w:type="spellStart"/>
      <w:proofErr w:type="gramEnd"/>
      <w:r w:rsidRPr="00087B21">
        <w:rPr>
          <w:rFonts w:ascii="Times New Roman" w:eastAsia="Times New Roman" w:hAnsi="Times New Roman" w:cs="Times New Roman"/>
          <w:sz w:val="24"/>
          <w:szCs w:val="24"/>
        </w:rPr>
        <w:t>data|no</w:t>
      </w:r>
      <w:proofErr w:type="spellEnd"/>
      <w:r w:rsidRPr="00087B21">
        <w:rPr>
          <w:rFonts w:ascii="Times New Roman" w:eastAsia="Times New Roman" w:hAnsi="Times New Roman" w:cs="Times New Roman"/>
          <w:sz w:val="24"/>
          <w:szCs w:val="24"/>
        </w:rPr>
        <w:t xml:space="preserve"> effect): the probability of the observed data (i.e., a positive finding that TMS impairs metacognition before but not after exclusion, as in </w:t>
      </w:r>
      <w:proofErr w:type="spellStart"/>
      <w:r w:rsidRPr="00087B21">
        <w:rPr>
          <w:rFonts w:ascii="Times New Roman" w:eastAsia="Times New Roman" w:hAnsi="Times New Roman" w:cs="Times New Roman"/>
          <w:sz w:val="24"/>
          <w:szCs w:val="24"/>
        </w:rPr>
        <w:t>Bor</w:t>
      </w:r>
      <w:proofErr w:type="spellEnd"/>
      <w:r w:rsidRPr="00087B21">
        <w:rPr>
          <w:rFonts w:ascii="Times New Roman" w:eastAsia="Times New Roman" w:hAnsi="Times New Roman" w:cs="Times New Roman"/>
          <w:sz w:val="24"/>
          <w:szCs w:val="24"/>
        </w:rPr>
        <w:t xml:space="preserve"> et al.’s (2017) between-subjects experiment) given no effect in the population. p(</w:t>
      </w:r>
      <w:proofErr w:type="spellStart"/>
      <w:r w:rsidRPr="00087B21">
        <w:rPr>
          <w:rFonts w:ascii="Times New Roman" w:eastAsia="Times New Roman" w:hAnsi="Times New Roman" w:cs="Times New Roman"/>
          <w:sz w:val="24"/>
          <w:szCs w:val="24"/>
        </w:rPr>
        <w:t>data|effect</w:t>
      </w:r>
      <w:proofErr w:type="spellEnd"/>
      <w:r w:rsidRPr="00087B21">
        <w:rPr>
          <w:rFonts w:ascii="Times New Roman" w:eastAsia="Times New Roman" w:hAnsi="Times New Roman" w:cs="Times New Roman"/>
          <w:sz w:val="24"/>
          <w:szCs w:val="24"/>
        </w:rPr>
        <w:t>): the probability of the observed data given a true effect in the population. p(</w:t>
      </w:r>
      <w:proofErr w:type="spellStart"/>
      <w:r w:rsidRPr="00087B21">
        <w:rPr>
          <w:rFonts w:ascii="Times New Roman" w:eastAsia="Times New Roman" w:hAnsi="Times New Roman" w:cs="Times New Roman"/>
          <w:sz w:val="24"/>
          <w:szCs w:val="24"/>
        </w:rPr>
        <w:t>effect|data</w:t>
      </w:r>
      <w:proofErr w:type="spellEnd"/>
      <w:r w:rsidRPr="00087B21">
        <w:rPr>
          <w:rFonts w:ascii="Times New Roman" w:eastAsia="Times New Roman" w:hAnsi="Times New Roman" w:cs="Times New Roman"/>
          <w:sz w:val="24"/>
          <w:szCs w:val="24"/>
        </w:rPr>
        <w:t xml:space="preserve">): the probability of a true effect in the population given the observed </w:t>
      </w:r>
      <w:r w:rsidRPr="00087B21">
        <w:rPr>
          <w:rFonts w:ascii="Times New Roman" w:eastAsia="Times New Roman" w:hAnsi="Times New Roman" w:cs="Times New Roman"/>
          <w:sz w:val="24"/>
          <w:szCs w:val="24"/>
        </w:rPr>
        <w:lastRenderedPageBreak/>
        <w:t xml:space="preserve">data, using a Bayesian analysis with uninformative priors. There were no salient differences in false positive rates before versus after subject exclusion for any of the experimental designs, although exclusion did slightly reduce false positive rates for the double-repeat design. We observed decreased power for exclusion in comparison with no exclusion for the double-repeat design, while for all other designs we found increased power for exclusion. Moreover, power and false positive rates varied considerably as a function of experimental design. </w:t>
      </w:r>
      <w:r w:rsidRPr="00087B21">
        <w:rPr>
          <w:rFonts w:ascii="Times New Roman" w:eastAsia="Times New Roman" w:hAnsi="Times New Roman" w:cs="Times New Roman"/>
          <w:sz w:val="24"/>
          <w:szCs w:val="24"/>
          <w:highlight w:val="white"/>
        </w:rPr>
        <w:t xml:space="preserve">For all experimental designs, the probability of the observed data was at least 2-3 times higher when the effect was present in the population than when it wasn’t. Therefore, for all designs we show that when finding a positive result before but not after exclusion (as in </w:t>
      </w:r>
      <w:proofErr w:type="spellStart"/>
      <w:r w:rsidRPr="00087B21">
        <w:rPr>
          <w:rFonts w:ascii="Times New Roman" w:eastAsia="Times New Roman" w:hAnsi="Times New Roman" w:cs="Times New Roman"/>
          <w:sz w:val="24"/>
          <w:szCs w:val="24"/>
          <w:highlight w:val="white"/>
        </w:rPr>
        <w:t>Bor</w:t>
      </w:r>
      <w:proofErr w:type="spellEnd"/>
      <w:r w:rsidRPr="00087B21">
        <w:rPr>
          <w:rFonts w:ascii="Times New Roman" w:eastAsia="Times New Roman" w:hAnsi="Times New Roman" w:cs="Times New Roman"/>
          <w:sz w:val="24"/>
          <w:szCs w:val="24"/>
          <w:highlight w:val="white"/>
        </w:rPr>
        <w:t xml:space="preserve"> et al.’s between-subjects experiment), there is likely a true effect in the population</w:t>
      </w:r>
      <w:r w:rsidRPr="00087B21">
        <w:rPr>
          <w:rFonts w:ascii="Times New Roman" w:eastAsia="Times New Roman" w:hAnsi="Times New Roman" w:cs="Times New Roman"/>
          <w:sz w:val="24"/>
          <w:szCs w:val="24"/>
        </w:rPr>
        <w:t xml:space="preserve">. Results from nonparametric permutation tests of significance in the case of violations of normality (shown in parentheses in </w:t>
      </w:r>
      <w:r w:rsidR="00E10060" w:rsidRPr="00087B21">
        <w:rPr>
          <w:rFonts w:ascii="Times New Roman" w:eastAsia="Times New Roman" w:hAnsi="Times New Roman" w:cs="Times New Roman"/>
          <w:sz w:val="24"/>
          <w:szCs w:val="24"/>
        </w:rPr>
        <w:t>Table 1</w:t>
      </w:r>
      <w:r w:rsidRPr="00087B21">
        <w:rPr>
          <w:rFonts w:ascii="Times New Roman" w:eastAsia="Times New Roman" w:hAnsi="Times New Roman" w:cs="Times New Roman"/>
          <w:sz w:val="24"/>
          <w:szCs w:val="24"/>
        </w:rPr>
        <w:t>) parallel the parametric test results.</w:t>
      </w:r>
    </w:p>
    <w:p w14:paraId="58C352F1" w14:textId="77777777" w:rsidR="001D6981" w:rsidRPr="00087B21" w:rsidRDefault="001D6981">
      <w:pPr>
        <w:pStyle w:val="Normal1"/>
        <w:rPr>
          <w:rFonts w:ascii="Times New Roman" w:eastAsia="Times New Roman" w:hAnsi="Times New Roman" w:cs="Times New Roman"/>
          <w:sz w:val="24"/>
          <w:szCs w:val="24"/>
        </w:rPr>
      </w:pPr>
    </w:p>
    <w:p w14:paraId="5851CB94" w14:textId="77777777" w:rsidR="001D6981" w:rsidRPr="00087B21" w:rsidRDefault="001D6981">
      <w:pPr>
        <w:pStyle w:val="Normal1"/>
        <w:rPr>
          <w:rFonts w:ascii="Times New Roman" w:eastAsia="Times New Roman" w:hAnsi="Times New Roman" w:cs="Times New Roman"/>
          <w:sz w:val="24"/>
          <w:szCs w:val="24"/>
        </w:rPr>
      </w:pPr>
    </w:p>
    <w:p w14:paraId="54FBD969" w14:textId="77777777" w:rsidR="001D6981" w:rsidRPr="00087B21" w:rsidRDefault="004F2E8C" w:rsidP="004C5927">
      <w:pPr>
        <w:pStyle w:val="Normal1"/>
        <w:outlineLvl w:val="0"/>
        <w:rPr>
          <w:rFonts w:ascii="Times New Roman" w:eastAsia="Times New Roman" w:hAnsi="Times New Roman" w:cs="Times New Roman"/>
          <w:sz w:val="24"/>
          <w:szCs w:val="24"/>
          <w:highlight w:val="white"/>
          <w:u w:val="single"/>
        </w:rPr>
      </w:pPr>
      <w:r w:rsidRPr="00087B21">
        <w:rPr>
          <w:rFonts w:ascii="Times New Roman" w:eastAsia="Times New Roman" w:hAnsi="Times New Roman" w:cs="Times New Roman"/>
          <w:sz w:val="24"/>
          <w:szCs w:val="24"/>
          <w:highlight w:val="white"/>
          <w:u w:val="single"/>
        </w:rPr>
        <w:t>Power and false positive rate for normal versus non-normal samples</w:t>
      </w:r>
    </w:p>
    <w:p w14:paraId="5CD07985" w14:textId="77777777" w:rsidR="001D6981" w:rsidRPr="00087B21" w:rsidRDefault="001D6981">
      <w:pPr>
        <w:pStyle w:val="Normal1"/>
        <w:rPr>
          <w:rFonts w:ascii="Times New Roman" w:eastAsia="Times New Roman" w:hAnsi="Times New Roman" w:cs="Times New Roman"/>
          <w:sz w:val="24"/>
          <w:szCs w:val="24"/>
          <w:highlight w:val="white"/>
        </w:rPr>
      </w:pPr>
    </w:p>
    <w:p w14:paraId="3E6DB69B" w14:textId="48974EFD" w:rsidR="00001A2F" w:rsidRPr="00087B21" w:rsidRDefault="00001A2F" w:rsidP="00C961B1">
      <w:pPr>
        <w:pStyle w:val="Normal1"/>
        <w:ind w:firstLine="720"/>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We addressed the effects of exclusion on power and false positive rates separately in samples that did or did not deviate from normality</w:t>
      </w:r>
      <w:r w:rsidR="0047114C" w:rsidRPr="00087B21">
        <w:rPr>
          <w:rFonts w:ascii="Times New Roman" w:eastAsia="Times New Roman" w:hAnsi="Times New Roman" w:cs="Times New Roman"/>
          <w:sz w:val="24"/>
          <w:szCs w:val="24"/>
          <w:highlight w:val="white"/>
        </w:rPr>
        <w:t xml:space="preserve"> (Tables 2-5)</w:t>
      </w:r>
      <w:r w:rsidRPr="00087B21">
        <w:rPr>
          <w:rFonts w:ascii="Times New Roman" w:eastAsia="Times New Roman" w:hAnsi="Times New Roman" w:cs="Times New Roman"/>
          <w:sz w:val="24"/>
          <w:szCs w:val="24"/>
          <w:highlight w:val="white"/>
        </w:rPr>
        <w:t>.</w:t>
      </w:r>
      <w:r w:rsidR="005B5A15" w:rsidRPr="00087B21">
        <w:rPr>
          <w:rFonts w:ascii="Times New Roman" w:eastAsia="Times New Roman" w:hAnsi="Times New Roman" w:cs="Times New Roman"/>
          <w:sz w:val="24"/>
          <w:szCs w:val="24"/>
          <w:highlight w:val="white"/>
        </w:rPr>
        <w:t xml:space="preserve"> Strikingly, these results demonstrate that for several experimental designs, even exclusion of data according to the criteria used by </w:t>
      </w:r>
      <w:proofErr w:type="spellStart"/>
      <w:r w:rsidR="005B5A15" w:rsidRPr="00087B21">
        <w:rPr>
          <w:rFonts w:ascii="Times New Roman" w:eastAsia="Times New Roman" w:hAnsi="Times New Roman" w:cs="Times New Roman"/>
          <w:sz w:val="24"/>
          <w:szCs w:val="24"/>
          <w:highlight w:val="white"/>
        </w:rPr>
        <w:t>Bor</w:t>
      </w:r>
      <w:proofErr w:type="spellEnd"/>
      <w:r w:rsidR="005B5A15" w:rsidRPr="00087B21">
        <w:rPr>
          <w:rFonts w:ascii="Times New Roman" w:eastAsia="Times New Roman" w:hAnsi="Times New Roman" w:cs="Times New Roman"/>
          <w:sz w:val="24"/>
          <w:szCs w:val="24"/>
          <w:highlight w:val="white"/>
        </w:rPr>
        <w:t xml:space="preserve"> et al. (2017) does not always (or even mostly) result in an entirely normally-distributed sample.</w:t>
      </w:r>
    </w:p>
    <w:p w14:paraId="5FC1716E" w14:textId="77777777" w:rsidR="00375064" w:rsidRDefault="00375064" w:rsidP="00375064">
      <w:pPr>
        <w:pStyle w:val="Normal1"/>
        <w:rPr>
          <w:rFonts w:ascii="Times New Roman" w:eastAsia="Times New Roman" w:hAnsi="Times New Roman" w:cs="Times New Roman"/>
          <w:highlight w:val="white"/>
        </w:rPr>
      </w:pPr>
    </w:p>
    <w:tbl>
      <w:tblPr>
        <w:tblStyle w:val="TableGrid"/>
        <w:tblW w:w="0" w:type="auto"/>
        <w:tblLook w:val="04A0" w:firstRow="1" w:lastRow="0" w:firstColumn="1" w:lastColumn="0" w:noHBand="0" w:noVBand="1"/>
      </w:tblPr>
      <w:tblGrid>
        <w:gridCol w:w="1855"/>
        <w:gridCol w:w="1763"/>
        <w:gridCol w:w="1260"/>
        <w:gridCol w:w="2250"/>
        <w:gridCol w:w="1599"/>
      </w:tblGrid>
      <w:tr w:rsidR="00375064" w:rsidRPr="00087B21" w14:paraId="0B836F53" w14:textId="77777777" w:rsidTr="00690040">
        <w:trPr>
          <w:trHeight w:val="254"/>
        </w:trPr>
        <w:tc>
          <w:tcPr>
            <w:tcW w:w="1855" w:type="dxa"/>
            <w:vMerge w:val="restart"/>
            <w:vAlign w:val="center"/>
          </w:tcPr>
          <w:p w14:paraId="1B2968F2"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Effect-present</w:t>
            </w:r>
          </w:p>
        </w:tc>
        <w:tc>
          <w:tcPr>
            <w:tcW w:w="1763" w:type="dxa"/>
            <w:vMerge w:val="restart"/>
            <w:vAlign w:val="center"/>
          </w:tcPr>
          <w:p w14:paraId="1EABD98B"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41C563DE"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4C95023B"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97.1%</w:t>
            </w:r>
          </w:p>
        </w:tc>
      </w:tr>
      <w:tr w:rsidR="00375064" w:rsidRPr="00087B21" w14:paraId="0C8FEA6D" w14:textId="77777777" w:rsidTr="00690040">
        <w:trPr>
          <w:trHeight w:val="143"/>
        </w:trPr>
        <w:tc>
          <w:tcPr>
            <w:tcW w:w="1855" w:type="dxa"/>
            <w:vMerge/>
            <w:vAlign w:val="center"/>
          </w:tcPr>
          <w:p w14:paraId="4C52671E"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104ACAEF"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2057EEEB"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68757AC5"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7DF3C9C1"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0.621</w:t>
            </w:r>
          </w:p>
        </w:tc>
      </w:tr>
      <w:tr w:rsidR="00375064" w:rsidRPr="00087B21" w14:paraId="4042E79D" w14:textId="77777777" w:rsidTr="00690040">
        <w:trPr>
          <w:trHeight w:val="143"/>
        </w:trPr>
        <w:tc>
          <w:tcPr>
            <w:tcW w:w="1855" w:type="dxa"/>
            <w:vMerge/>
            <w:vAlign w:val="center"/>
          </w:tcPr>
          <w:p w14:paraId="08210E13"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7725A466"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7A20D16A"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580ED328"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4BC784EA"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0.306</w:t>
            </w:r>
          </w:p>
        </w:tc>
      </w:tr>
      <w:tr w:rsidR="00375064" w:rsidRPr="00087B21" w14:paraId="1E2633F5" w14:textId="77777777" w:rsidTr="00690040">
        <w:trPr>
          <w:trHeight w:val="143"/>
        </w:trPr>
        <w:tc>
          <w:tcPr>
            <w:tcW w:w="1855" w:type="dxa"/>
            <w:vMerge/>
            <w:vAlign w:val="center"/>
          </w:tcPr>
          <w:p w14:paraId="61BC4D5F"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0FF11F77"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3050C590"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25B7FB08"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66.9%</w:t>
            </w:r>
          </w:p>
        </w:tc>
      </w:tr>
      <w:tr w:rsidR="00375064" w:rsidRPr="00087B21" w14:paraId="6BE6FDD5" w14:textId="77777777" w:rsidTr="00690040">
        <w:trPr>
          <w:trHeight w:val="143"/>
        </w:trPr>
        <w:tc>
          <w:tcPr>
            <w:tcW w:w="1855" w:type="dxa"/>
            <w:vMerge/>
            <w:vAlign w:val="center"/>
          </w:tcPr>
          <w:p w14:paraId="3AA3ED82"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3DDB7436"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2706093F"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2D9D7042"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0BE85A90"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0.523</w:t>
            </w:r>
          </w:p>
        </w:tc>
      </w:tr>
      <w:tr w:rsidR="00375064" w:rsidRPr="00087B21" w14:paraId="14AAF530" w14:textId="77777777" w:rsidTr="00690040">
        <w:trPr>
          <w:trHeight w:val="143"/>
        </w:trPr>
        <w:tc>
          <w:tcPr>
            <w:tcW w:w="1855" w:type="dxa"/>
            <w:vMerge/>
            <w:vAlign w:val="center"/>
          </w:tcPr>
          <w:p w14:paraId="17A4C513"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27292493"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706CD77E"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1A93F08A"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387FAA09"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0.369</w:t>
            </w:r>
          </w:p>
        </w:tc>
      </w:tr>
      <w:tr w:rsidR="00375064" w:rsidRPr="00087B21" w14:paraId="659C869D" w14:textId="77777777" w:rsidTr="00690040">
        <w:trPr>
          <w:trHeight w:val="237"/>
        </w:trPr>
        <w:tc>
          <w:tcPr>
            <w:tcW w:w="1855" w:type="dxa"/>
            <w:vMerge w:val="restart"/>
            <w:vAlign w:val="center"/>
          </w:tcPr>
          <w:p w14:paraId="7D8CE4B6"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Effect-absent</w:t>
            </w:r>
          </w:p>
        </w:tc>
        <w:tc>
          <w:tcPr>
            <w:tcW w:w="1763" w:type="dxa"/>
            <w:vMerge w:val="restart"/>
            <w:vAlign w:val="center"/>
          </w:tcPr>
          <w:p w14:paraId="212F15C0"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26623580"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20AB45AB"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98.5%</w:t>
            </w:r>
          </w:p>
        </w:tc>
      </w:tr>
      <w:tr w:rsidR="00375064" w:rsidRPr="00087B21" w14:paraId="2021D142" w14:textId="77777777" w:rsidTr="00690040">
        <w:trPr>
          <w:trHeight w:val="143"/>
        </w:trPr>
        <w:tc>
          <w:tcPr>
            <w:tcW w:w="1855" w:type="dxa"/>
            <w:vMerge/>
            <w:vAlign w:val="center"/>
          </w:tcPr>
          <w:p w14:paraId="40E5188A"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2FEB485D"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7043F6A4"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7A59F021"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675E1A3F"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0.000</w:t>
            </w:r>
          </w:p>
        </w:tc>
      </w:tr>
      <w:tr w:rsidR="00375064" w:rsidRPr="00087B21" w14:paraId="15DA14AA" w14:textId="77777777" w:rsidTr="00690040">
        <w:trPr>
          <w:trHeight w:val="143"/>
        </w:trPr>
        <w:tc>
          <w:tcPr>
            <w:tcW w:w="1855" w:type="dxa"/>
            <w:vMerge/>
            <w:vAlign w:val="center"/>
          </w:tcPr>
          <w:p w14:paraId="4C6599CE"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70CA62F4"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1F4312CB"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6B34BBCD"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6115A14E" w14:textId="4B284A2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w:t>
            </w:r>
            <w:r w:rsidR="00690040" w:rsidRPr="00087B21">
              <w:rPr>
                <w:rFonts w:ascii="Times New Roman" w:eastAsia="Times New Roman" w:hAnsi="Times New Roman" w:cs="Times New Roman"/>
                <w:sz w:val="24"/>
                <w:szCs w:val="24"/>
                <w:highlight w:val="white"/>
              </w:rPr>
              <w:t>05</w:t>
            </w:r>
            <w:r w:rsidRPr="00087B21">
              <w:rPr>
                <w:rFonts w:ascii="Times New Roman" w:eastAsia="Times New Roman" w:hAnsi="Times New Roman" w:cs="Times New Roman"/>
                <w:sz w:val="24"/>
                <w:szCs w:val="24"/>
                <w:highlight w:val="white"/>
              </w:rPr>
              <w:t>4</w:t>
            </w:r>
          </w:p>
        </w:tc>
      </w:tr>
      <w:tr w:rsidR="00375064" w:rsidRPr="00087B21" w14:paraId="6AF6B0E6" w14:textId="77777777" w:rsidTr="00690040">
        <w:trPr>
          <w:trHeight w:val="143"/>
        </w:trPr>
        <w:tc>
          <w:tcPr>
            <w:tcW w:w="1855" w:type="dxa"/>
            <w:vMerge/>
            <w:vAlign w:val="center"/>
          </w:tcPr>
          <w:p w14:paraId="6A5783BD"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3A65DC87"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70C9EBF9"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0D6EB3DC"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75.7%</w:t>
            </w:r>
          </w:p>
        </w:tc>
      </w:tr>
      <w:tr w:rsidR="00375064" w:rsidRPr="00087B21" w14:paraId="520AD3A3" w14:textId="77777777" w:rsidTr="00690040">
        <w:trPr>
          <w:trHeight w:val="143"/>
        </w:trPr>
        <w:tc>
          <w:tcPr>
            <w:tcW w:w="1855" w:type="dxa"/>
            <w:vMerge/>
            <w:vAlign w:val="center"/>
          </w:tcPr>
          <w:p w14:paraId="14ED4751"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6DD5A74B"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387FE347"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1D3EFE86"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14B72B75"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0.041</w:t>
            </w:r>
          </w:p>
        </w:tc>
      </w:tr>
      <w:tr w:rsidR="00375064" w:rsidRPr="00087B21" w14:paraId="2B43CB9F" w14:textId="77777777" w:rsidTr="00690040">
        <w:trPr>
          <w:trHeight w:val="143"/>
        </w:trPr>
        <w:tc>
          <w:tcPr>
            <w:tcW w:w="1855" w:type="dxa"/>
            <w:vMerge/>
            <w:vAlign w:val="center"/>
          </w:tcPr>
          <w:p w14:paraId="0465ED89"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555641A9"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6921E6A1"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5499A074"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24AD668C" w14:textId="77777777" w:rsidR="00375064" w:rsidRPr="00087B21" w:rsidRDefault="00375064"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0.057</w:t>
            </w:r>
          </w:p>
        </w:tc>
      </w:tr>
    </w:tbl>
    <w:p w14:paraId="41A9B4F3" w14:textId="2430A265" w:rsidR="0029435C" w:rsidRPr="00087B21" w:rsidRDefault="0029435C" w:rsidP="0029435C">
      <w:pPr>
        <w:pStyle w:val="Normal1"/>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 xml:space="preserve">Table 2. Power and false positive rates (FPR) in normal vs. non-normal samples before and after exclusion in the </w:t>
      </w:r>
      <w:r w:rsidR="004E312D" w:rsidRPr="00087B21">
        <w:rPr>
          <w:rFonts w:ascii="Times New Roman" w:eastAsia="Times New Roman" w:hAnsi="Times New Roman" w:cs="Times New Roman"/>
          <w:sz w:val="24"/>
          <w:szCs w:val="24"/>
          <w:highlight w:val="white"/>
        </w:rPr>
        <w:t>b</w:t>
      </w:r>
      <w:r w:rsidRPr="00087B21">
        <w:rPr>
          <w:rFonts w:ascii="Times New Roman" w:eastAsia="Times New Roman" w:hAnsi="Times New Roman" w:cs="Times New Roman"/>
          <w:sz w:val="24"/>
          <w:szCs w:val="24"/>
          <w:highlight w:val="white"/>
        </w:rPr>
        <w:t>etween-</w:t>
      </w:r>
      <w:r w:rsidR="004E312D" w:rsidRPr="00087B21">
        <w:rPr>
          <w:rFonts w:ascii="Times New Roman" w:eastAsia="Times New Roman" w:hAnsi="Times New Roman" w:cs="Times New Roman"/>
          <w:sz w:val="24"/>
          <w:szCs w:val="24"/>
          <w:highlight w:val="white"/>
        </w:rPr>
        <w:t>s</w:t>
      </w:r>
      <w:r w:rsidRPr="00087B21">
        <w:rPr>
          <w:rFonts w:ascii="Times New Roman" w:eastAsia="Times New Roman" w:hAnsi="Times New Roman" w:cs="Times New Roman"/>
          <w:sz w:val="24"/>
          <w:szCs w:val="24"/>
          <w:highlight w:val="white"/>
        </w:rPr>
        <w:t>ubjects design.</w:t>
      </w:r>
    </w:p>
    <w:p w14:paraId="08DBB82A" w14:textId="77777777" w:rsidR="0033383F" w:rsidRPr="00087B21" w:rsidRDefault="0033383F">
      <w:pPr>
        <w:pStyle w:val="Normal1"/>
        <w:rPr>
          <w:rFonts w:ascii="Times New Roman" w:eastAsia="Times New Roman" w:hAnsi="Times New Roman" w:cs="Times New Roman"/>
          <w:sz w:val="24"/>
          <w:szCs w:val="24"/>
          <w:highlight w:val="white"/>
        </w:rPr>
      </w:pPr>
    </w:p>
    <w:p w14:paraId="38D517DC" w14:textId="77777777" w:rsidR="00764BD8" w:rsidRDefault="00764BD8" w:rsidP="00764BD8">
      <w:pPr>
        <w:pStyle w:val="Normal1"/>
        <w:rPr>
          <w:rFonts w:ascii="Times New Roman" w:eastAsia="Times New Roman" w:hAnsi="Times New Roman" w:cs="Times New Roman"/>
          <w:sz w:val="24"/>
          <w:szCs w:val="24"/>
          <w:highlight w:val="white"/>
        </w:rPr>
      </w:pPr>
    </w:p>
    <w:p w14:paraId="7B918FE1" w14:textId="77777777" w:rsidR="00087B21" w:rsidRDefault="00087B21" w:rsidP="00764BD8">
      <w:pPr>
        <w:pStyle w:val="Normal1"/>
        <w:rPr>
          <w:rFonts w:ascii="Times New Roman" w:eastAsia="Times New Roman" w:hAnsi="Times New Roman" w:cs="Times New Roman"/>
          <w:sz w:val="24"/>
          <w:szCs w:val="24"/>
          <w:highlight w:val="white"/>
        </w:rPr>
      </w:pPr>
    </w:p>
    <w:p w14:paraId="1A49A7F2" w14:textId="77777777" w:rsidR="00087B21" w:rsidRDefault="00087B21" w:rsidP="00764BD8">
      <w:pPr>
        <w:pStyle w:val="Normal1"/>
        <w:rPr>
          <w:rFonts w:ascii="Times New Roman" w:eastAsia="Times New Roman" w:hAnsi="Times New Roman" w:cs="Times New Roman"/>
          <w:sz w:val="24"/>
          <w:szCs w:val="24"/>
          <w:highlight w:val="white"/>
        </w:rPr>
      </w:pPr>
    </w:p>
    <w:p w14:paraId="16BCB679" w14:textId="77777777" w:rsidR="00087B21" w:rsidRDefault="00087B21" w:rsidP="00764BD8">
      <w:pPr>
        <w:pStyle w:val="Normal1"/>
        <w:rPr>
          <w:rFonts w:ascii="Times New Roman" w:eastAsia="Times New Roman" w:hAnsi="Times New Roman" w:cs="Times New Roman"/>
          <w:sz w:val="24"/>
          <w:szCs w:val="24"/>
          <w:highlight w:val="white"/>
        </w:rPr>
      </w:pPr>
    </w:p>
    <w:p w14:paraId="60B10557" w14:textId="77777777" w:rsidR="00087B21" w:rsidRPr="00087B21" w:rsidRDefault="00087B21" w:rsidP="00764BD8">
      <w:pPr>
        <w:pStyle w:val="Normal1"/>
        <w:rPr>
          <w:rFonts w:ascii="Times New Roman" w:eastAsia="Times New Roman" w:hAnsi="Times New Roman" w:cs="Times New Roman"/>
          <w:sz w:val="24"/>
          <w:szCs w:val="24"/>
          <w:highlight w:val="white"/>
        </w:rPr>
      </w:pPr>
    </w:p>
    <w:tbl>
      <w:tblPr>
        <w:tblStyle w:val="TableGrid"/>
        <w:tblW w:w="0" w:type="auto"/>
        <w:tblLook w:val="04A0" w:firstRow="1" w:lastRow="0" w:firstColumn="1" w:lastColumn="0" w:noHBand="0" w:noVBand="1"/>
      </w:tblPr>
      <w:tblGrid>
        <w:gridCol w:w="1855"/>
        <w:gridCol w:w="1763"/>
        <w:gridCol w:w="1260"/>
        <w:gridCol w:w="2250"/>
        <w:gridCol w:w="1599"/>
      </w:tblGrid>
      <w:tr w:rsidR="00764BD8" w:rsidRPr="00087B21" w14:paraId="3D081A0D" w14:textId="77777777" w:rsidTr="00690040">
        <w:trPr>
          <w:trHeight w:val="254"/>
        </w:trPr>
        <w:tc>
          <w:tcPr>
            <w:tcW w:w="1855" w:type="dxa"/>
            <w:vMerge w:val="restart"/>
            <w:vAlign w:val="center"/>
          </w:tcPr>
          <w:p w14:paraId="62012C6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Effect-present</w:t>
            </w:r>
          </w:p>
        </w:tc>
        <w:tc>
          <w:tcPr>
            <w:tcW w:w="1763" w:type="dxa"/>
            <w:vMerge w:val="restart"/>
            <w:vAlign w:val="center"/>
          </w:tcPr>
          <w:p w14:paraId="6210A72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33E9978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2366E26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47.8%</w:t>
            </w:r>
          </w:p>
        </w:tc>
      </w:tr>
      <w:tr w:rsidR="00764BD8" w:rsidRPr="00087B21" w14:paraId="4FA96CAD" w14:textId="77777777" w:rsidTr="00690040">
        <w:trPr>
          <w:trHeight w:val="143"/>
        </w:trPr>
        <w:tc>
          <w:tcPr>
            <w:tcW w:w="1855" w:type="dxa"/>
            <w:vMerge/>
            <w:vAlign w:val="center"/>
          </w:tcPr>
          <w:p w14:paraId="7ADC4AF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7036168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660AA5C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4186F62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719DD96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0.189</w:t>
            </w:r>
          </w:p>
        </w:tc>
      </w:tr>
      <w:tr w:rsidR="00764BD8" w:rsidRPr="00087B21" w14:paraId="3CE15B6D" w14:textId="77777777" w:rsidTr="00690040">
        <w:trPr>
          <w:trHeight w:val="143"/>
        </w:trPr>
        <w:tc>
          <w:tcPr>
            <w:tcW w:w="1855" w:type="dxa"/>
            <w:vMerge/>
            <w:vAlign w:val="center"/>
          </w:tcPr>
          <w:p w14:paraId="31BB0E3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701D97B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3A514C3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5BE6085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22DABF1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0.515</w:t>
            </w:r>
          </w:p>
        </w:tc>
      </w:tr>
      <w:tr w:rsidR="00764BD8" w:rsidRPr="00087B21" w14:paraId="0E57ACE5" w14:textId="77777777" w:rsidTr="00690040">
        <w:trPr>
          <w:trHeight w:val="143"/>
        </w:trPr>
        <w:tc>
          <w:tcPr>
            <w:tcW w:w="1855" w:type="dxa"/>
            <w:vMerge/>
            <w:vAlign w:val="center"/>
          </w:tcPr>
          <w:p w14:paraId="2C7D336C"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5A2A935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2E6474E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5EE4E5F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10.7%</w:t>
            </w:r>
          </w:p>
        </w:tc>
      </w:tr>
      <w:tr w:rsidR="00764BD8" w:rsidRPr="00087B21" w14:paraId="1E4A1AE0" w14:textId="77777777" w:rsidTr="00690040">
        <w:trPr>
          <w:trHeight w:val="143"/>
        </w:trPr>
        <w:tc>
          <w:tcPr>
            <w:tcW w:w="1855" w:type="dxa"/>
            <w:vMerge/>
            <w:vAlign w:val="center"/>
          </w:tcPr>
          <w:p w14:paraId="5490977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4A0ECA7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347A90E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5D15949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1FF1E77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0.132</w:t>
            </w:r>
          </w:p>
        </w:tc>
      </w:tr>
      <w:tr w:rsidR="00764BD8" w:rsidRPr="00087B21" w14:paraId="49E1FD97" w14:textId="77777777" w:rsidTr="00690040">
        <w:trPr>
          <w:trHeight w:val="143"/>
        </w:trPr>
        <w:tc>
          <w:tcPr>
            <w:tcW w:w="1855" w:type="dxa"/>
            <w:vMerge/>
            <w:vAlign w:val="center"/>
          </w:tcPr>
          <w:p w14:paraId="1BF5B7E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3C9CD90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683FDA8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74AE80B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658C13D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0.664</w:t>
            </w:r>
          </w:p>
        </w:tc>
      </w:tr>
      <w:tr w:rsidR="00764BD8" w:rsidRPr="00087B21" w14:paraId="53E7C322" w14:textId="77777777" w:rsidTr="00690040">
        <w:trPr>
          <w:trHeight w:val="237"/>
        </w:trPr>
        <w:tc>
          <w:tcPr>
            <w:tcW w:w="1855" w:type="dxa"/>
            <w:vMerge w:val="restart"/>
            <w:vAlign w:val="center"/>
          </w:tcPr>
          <w:p w14:paraId="7DCA659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Effect-absent</w:t>
            </w:r>
          </w:p>
        </w:tc>
        <w:tc>
          <w:tcPr>
            <w:tcW w:w="1763" w:type="dxa"/>
            <w:vMerge w:val="restart"/>
            <w:vAlign w:val="center"/>
          </w:tcPr>
          <w:p w14:paraId="58A7521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260594F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3F30F30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21.9%</w:t>
            </w:r>
          </w:p>
        </w:tc>
      </w:tr>
      <w:tr w:rsidR="00764BD8" w:rsidRPr="00087B21" w14:paraId="70A50BFF" w14:textId="77777777" w:rsidTr="00690040">
        <w:trPr>
          <w:trHeight w:val="143"/>
        </w:trPr>
        <w:tc>
          <w:tcPr>
            <w:tcW w:w="1855" w:type="dxa"/>
            <w:vMerge/>
            <w:vAlign w:val="center"/>
          </w:tcPr>
          <w:p w14:paraId="7D35D1A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14B8FFDD"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183C6F1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617DB85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2F15C14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0.017</w:t>
            </w:r>
          </w:p>
        </w:tc>
      </w:tr>
      <w:tr w:rsidR="00764BD8" w:rsidRPr="00087B21" w14:paraId="4BF84321" w14:textId="77777777" w:rsidTr="00690040">
        <w:trPr>
          <w:trHeight w:val="143"/>
        </w:trPr>
        <w:tc>
          <w:tcPr>
            <w:tcW w:w="1855" w:type="dxa"/>
            <w:vMerge/>
            <w:vAlign w:val="center"/>
          </w:tcPr>
          <w:p w14:paraId="06CA26D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144164B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2BC1B36C"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410D022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2B17D2A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0.329</w:t>
            </w:r>
          </w:p>
        </w:tc>
      </w:tr>
      <w:tr w:rsidR="00764BD8" w:rsidRPr="00087B21" w14:paraId="4314C3BB" w14:textId="77777777" w:rsidTr="00690040">
        <w:trPr>
          <w:trHeight w:val="143"/>
        </w:trPr>
        <w:tc>
          <w:tcPr>
            <w:tcW w:w="1855" w:type="dxa"/>
            <w:vMerge/>
            <w:vAlign w:val="center"/>
          </w:tcPr>
          <w:p w14:paraId="0E341E4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0079989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53DF2DF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33F46D6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4.2%</w:t>
            </w:r>
          </w:p>
        </w:tc>
      </w:tr>
      <w:tr w:rsidR="00764BD8" w:rsidRPr="00087B21" w14:paraId="1F1F720D" w14:textId="77777777" w:rsidTr="00690040">
        <w:trPr>
          <w:trHeight w:val="143"/>
        </w:trPr>
        <w:tc>
          <w:tcPr>
            <w:tcW w:w="1855" w:type="dxa"/>
            <w:vMerge/>
            <w:vAlign w:val="center"/>
          </w:tcPr>
          <w:p w14:paraId="0EA5BE3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077E2ECD"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0ED62F8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49E9818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1E1B79E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0.006</w:t>
            </w:r>
          </w:p>
        </w:tc>
      </w:tr>
      <w:tr w:rsidR="00764BD8" w:rsidRPr="00087B21" w14:paraId="71EDC260" w14:textId="77777777" w:rsidTr="00690040">
        <w:trPr>
          <w:trHeight w:val="143"/>
        </w:trPr>
        <w:tc>
          <w:tcPr>
            <w:tcW w:w="1855" w:type="dxa"/>
            <w:vMerge/>
            <w:vAlign w:val="center"/>
          </w:tcPr>
          <w:p w14:paraId="146710E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50FF250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673CA4E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1C90366C"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63849FA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0.476</w:t>
            </w:r>
          </w:p>
        </w:tc>
      </w:tr>
    </w:tbl>
    <w:p w14:paraId="4946CE9E" w14:textId="77777777" w:rsidR="00764BD8" w:rsidRPr="00087B21" w:rsidRDefault="00764BD8" w:rsidP="00764BD8">
      <w:pPr>
        <w:pStyle w:val="Normal1"/>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Table 3. Power and false positive rates (FPR) in normal vs. non-normal samples before and after exclusion in the double-repeat design.</w:t>
      </w:r>
    </w:p>
    <w:p w14:paraId="3C71530C" w14:textId="77777777" w:rsidR="00764BD8" w:rsidRPr="00087B21" w:rsidRDefault="00764BD8" w:rsidP="00764BD8">
      <w:pPr>
        <w:pStyle w:val="Normal1"/>
        <w:rPr>
          <w:rFonts w:ascii="Times New Roman" w:eastAsia="Times New Roman" w:hAnsi="Times New Roman" w:cs="Times New Roman"/>
          <w:sz w:val="24"/>
          <w:szCs w:val="24"/>
          <w:highlight w:val="white"/>
        </w:rPr>
      </w:pPr>
    </w:p>
    <w:p w14:paraId="628BD06B" w14:textId="77777777" w:rsidR="00764BD8" w:rsidRPr="00087B21" w:rsidRDefault="00764BD8" w:rsidP="00764BD8">
      <w:pPr>
        <w:pStyle w:val="Normal1"/>
        <w:rPr>
          <w:rFonts w:ascii="Times New Roman" w:eastAsia="Times New Roman" w:hAnsi="Times New Roman" w:cs="Times New Roman"/>
          <w:sz w:val="24"/>
          <w:szCs w:val="24"/>
          <w:highlight w:val="white"/>
        </w:rPr>
      </w:pPr>
    </w:p>
    <w:tbl>
      <w:tblPr>
        <w:tblStyle w:val="TableGrid"/>
        <w:tblW w:w="0" w:type="auto"/>
        <w:tblLook w:val="04A0" w:firstRow="1" w:lastRow="0" w:firstColumn="1" w:lastColumn="0" w:noHBand="0" w:noVBand="1"/>
      </w:tblPr>
      <w:tblGrid>
        <w:gridCol w:w="1855"/>
        <w:gridCol w:w="1763"/>
        <w:gridCol w:w="1260"/>
        <w:gridCol w:w="2250"/>
        <w:gridCol w:w="1599"/>
      </w:tblGrid>
      <w:tr w:rsidR="00764BD8" w:rsidRPr="00087B21" w14:paraId="58519E32" w14:textId="77777777" w:rsidTr="00690040">
        <w:trPr>
          <w:trHeight w:val="254"/>
        </w:trPr>
        <w:tc>
          <w:tcPr>
            <w:tcW w:w="1855" w:type="dxa"/>
            <w:vMerge w:val="restart"/>
            <w:vAlign w:val="center"/>
          </w:tcPr>
          <w:p w14:paraId="28C789A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Effect-present</w:t>
            </w:r>
          </w:p>
        </w:tc>
        <w:tc>
          <w:tcPr>
            <w:tcW w:w="1763" w:type="dxa"/>
            <w:vMerge w:val="restart"/>
            <w:vAlign w:val="center"/>
          </w:tcPr>
          <w:p w14:paraId="09F81A3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0E128E5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78EA873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98.6%</w:t>
            </w:r>
          </w:p>
        </w:tc>
      </w:tr>
      <w:tr w:rsidR="00764BD8" w:rsidRPr="00087B21" w14:paraId="30712A2A" w14:textId="77777777" w:rsidTr="00690040">
        <w:trPr>
          <w:trHeight w:val="143"/>
        </w:trPr>
        <w:tc>
          <w:tcPr>
            <w:tcW w:w="1855" w:type="dxa"/>
            <w:vMerge/>
            <w:vAlign w:val="center"/>
          </w:tcPr>
          <w:p w14:paraId="4E2EC8F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73DFAB2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66B5DCB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69E0774C"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634D884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0.786</w:t>
            </w:r>
          </w:p>
        </w:tc>
      </w:tr>
      <w:tr w:rsidR="00764BD8" w:rsidRPr="00087B21" w14:paraId="091C00C5" w14:textId="77777777" w:rsidTr="00690040">
        <w:trPr>
          <w:trHeight w:val="143"/>
        </w:trPr>
        <w:tc>
          <w:tcPr>
            <w:tcW w:w="1855" w:type="dxa"/>
            <w:vMerge/>
            <w:vAlign w:val="center"/>
          </w:tcPr>
          <w:p w14:paraId="006B4D1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2F7988A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647B6C7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6DFC1C3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7BD3D84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0.420</w:t>
            </w:r>
          </w:p>
        </w:tc>
      </w:tr>
      <w:tr w:rsidR="00764BD8" w:rsidRPr="00087B21" w14:paraId="74DD1119" w14:textId="77777777" w:rsidTr="00690040">
        <w:trPr>
          <w:trHeight w:val="143"/>
        </w:trPr>
        <w:tc>
          <w:tcPr>
            <w:tcW w:w="1855" w:type="dxa"/>
            <w:vMerge/>
            <w:vAlign w:val="center"/>
          </w:tcPr>
          <w:p w14:paraId="1256403D"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11EB204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04412B0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531C044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30.8%</w:t>
            </w:r>
          </w:p>
        </w:tc>
      </w:tr>
      <w:tr w:rsidR="00764BD8" w:rsidRPr="00087B21" w14:paraId="363130AD" w14:textId="77777777" w:rsidTr="00690040">
        <w:trPr>
          <w:trHeight w:val="143"/>
        </w:trPr>
        <w:tc>
          <w:tcPr>
            <w:tcW w:w="1855" w:type="dxa"/>
            <w:vMerge/>
            <w:vAlign w:val="center"/>
          </w:tcPr>
          <w:p w14:paraId="5FE5EF3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1316994D"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6503D8A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5F9BECB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7BD5051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0.633</w:t>
            </w:r>
          </w:p>
        </w:tc>
      </w:tr>
      <w:tr w:rsidR="00764BD8" w:rsidRPr="00087B21" w14:paraId="2ACAED32" w14:textId="77777777" w:rsidTr="00690040">
        <w:trPr>
          <w:trHeight w:val="143"/>
        </w:trPr>
        <w:tc>
          <w:tcPr>
            <w:tcW w:w="1855" w:type="dxa"/>
            <w:vMerge/>
            <w:vAlign w:val="center"/>
          </w:tcPr>
          <w:p w14:paraId="1825374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66C6CE9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73EFBC2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4F134EA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32BD7F5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0.539</w:t>
            </w:r>
          </w:p>
        </w:tc>
      </w:tr>
      <w:tr w:rsidR="00764BD8" w:rsidRPr="00087B21" w14:paraId="18EA9113" w14:textId="77777777" w:rsidTr="00690040">
        <w:trPr>
          <w:trHeight w:val="237"/>
        </w:trPr>
        <w:tc>
          <w:tcPr>
            <w:tcW w:w="1855" w:type="dxa"/>
            <w:vMerge w:val="restart"/>
            <w:vAlign w:val="center"/>
          </w:tcPr>
          <w:p w14:paraId="45FA60A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Effect-absent</w:t>
            </w:r>
          </w:p>
        </w:tc>
        <w:tc>
          <w:tcPr>
            <w:tcW w:w="1763" w:type="dxa"/>
            <w:vMerge w:val="restart"/>
            <w:vAlign w:val="center"/>
          </w:tcPr>
          <w:p w14:paraId="315B613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19ADD77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3D30EC6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99.2%</w:t>
            </w:r>
          </w:p>
        </w:tc>
      </w:tr>
      <w:tr w:rsidR="00764BD8" w:rsidRPr="00087B21" w14:paraId="3ACA1C1C" w14:textId="77777777" w:rsidTr="00690040">
        <w:trPr>
          <w:trHeight w:val="143"/>
        </w:trPr>
        <w:tc>
          <w:tcPr>
            <w:tcW w:w="1855" w:type="dxa"/>
            <w:vMerge/>
            <w:vAlign w:val="center"/>
          </w:tcPr>
          <w:p w14:paraId="79CC555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2EF23FAC"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1E81805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6924DDF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4665646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0.125</w:t>
            </w:r>
          </w:p>
        </w:tc>
      </w:tr>
      <w:tr w:rsidR="00764BD8" w:rsidRPr="00087B21" w14:paraId="03666999" w14:textId="77777777" w:rsidTr="00690040">
        <w:trPr>
          <w:trHeight w:val="143"/>
        </w:trPr>
        <w:tc>
          <w:tcPr>
            <w:tcW w:w="1855" w:type="dxa"/>
            <w:vMerge/>
            <w:vAlign w:val="center"/>
          </w:tcPr>
          <w:p w14:paraId="76A543B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3D23089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040D455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0C294B0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27304F7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0.069</w:t>
            </w:r>
          </w:p>
        </w:tc>
      </w:tr>
      <w:tr w:rsidR="00764BD8" w:rsidRPr="00087B21" w14:paraId="555E259F" w14:textId="77777777" w:rsidTr="00690040">
        <w:trPr>
          <w:trHeight w:val="143"/>
        </w:trPr>
        <w:tc>
          <w:tcPr>
            <w:tcW w:w="1855" w:type="dxa"/>
            <w:vMerge/>
            <w:vAlign w:val="center"/>
          </w:tcPr>
          <w:p w14:paraId="0AEDB76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5CA0987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18060F1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3B7D6A27"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62.4%</w:t>
            </w:r>
          </w:p>
        </w:tc>
      </w:tr>
      <w:tr w:rsidR="00764BD8" w:rsidRPr="00087B21" w14:paraId="59C19EEF" w14:textId="77777777" w:rsidTr="00690040">
        <w:trPr>
          <w:trHeight w:val="143"/>
        </w:trPr>
        <w:tc>
          <w:tcPr>
            <w:tcW w:w="1855" w:type="dxa"/>
            <w:vMerge/>
            <w:vAlign w:val="center"/>
          </w:tcPr>
          <w:p w14:paraId="17D61B3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0BDF717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160FA8B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71C80B7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226D64D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0.064</w:t>
            </w:r>
          </w:p>
        </w:tc>
      </w:tr>
      <w:tr w:rsidR="00764BD8" w:rsidRPr="00087B21" w14:paraId="3D6052D8" w14:textId="77777777" w:rsidTr="00690040">
        <w:trPr>
          <w:trHeight w:val="143"/>
        </w:trPr>
        <w:tc>
          <w:tcPr>
            <w:tcW w:w="1855" w:type="dxa"/>
            <w:vMerge/>
            <w:vAlign w:val="center"/>
          </w:tcPr>
          <w:p w14:paraId="73FB1E1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03BDA44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1D542ED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4196531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3EFE506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0.074</w:t>
            </w:r>
          </w:p>
        </w:tc>
      </w:tr>
    </w:tbl>
    <w:p w14:paraId="3356FBDD" w14:textId="77777777" w:rsidR="00764BD8" w:rsidRPr="00087B21" w:rsidRDefault="00764BD8" w:rsidP="00764BD8">
      <w:pPr>
        <w:pStyle w:val="Normal1"/>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Table 4. Power and false positive rates (FPR) in normal vs. non-normal samples before and after exclusion in the within-subjects design (n=27).</w:t>
      </w:r>
    </w:p>
    <w:p w14:paraId="2B092D7F" w14:textId="77777777" w:rsidR="00764BD8" w:rsidRPr="00087B21" w:rsidRDefault="00764BD8" w:rsidP="00764BD8">
      <w:pPr>
        <w:pStyle w:val="Normal1"/>
        <w:rPr>
          <w:rFonts w:ascii="Times New Roman" w:eastAsia="Times New Roman" w:hAnsi="Times New Roman" w:cs="Times New Roman"/>
          <w:sz w:val="24"/>
          <w:szCs w:val="24"/>
          <w:highlight w:val="white"/>
        </w:rPr>
      </w:pPr>
    </w:p>
    <w:p w14:paraId="1A231D4F" w14:textId="77777777" w:rsidR="00764BD8" w:rsidRPr="00087B21" w:rsidRDefault="00764BD8" w:rsidP="00764BD8">
      <w:pPr>
        <w:pStyle w:val="Normal1"/>
        <w:rPr>
          <w:rFonts w:ascii="Times New Roman" w:eastAsia="Times New Roman" w:hAnsi="Times New Roman" w:cs="Times New Roman"/>
          <w:sz w:val="24"/>
          <w:szCs w:val="24"/>
          <w:highlight w:val="white"/>
        </w:rPr>
      </w:pPr>
    </w:p>
    <w:tbl>
      <w:tblPr>
        <w:tblStyle w:val="TableGrid"/>
        <w:tblW w:w="0" w:type="auto"/>
        <w:tblLook w:val="04A0" w:firstRow="1" w:lastRow="0" w:firstColumn="1" w:lastColumn="0" w:noHBand="0" w:noVBand="1"/>
      </w:tblPr>
      <w:tblGrid>
        <w:gridCol w:w="1855"/>
        <w:gridCol w:w="1763"/>
        <w:gridCol w:w="1260"/>
        <w:gridCol w:w="2250"/>
        <w:gridCol w:w="1599"/>
      </w:tblGrid>
      <w:tr w:rsidR="00764BD8" w:rsidRPr="00087B21" w14:paraId="0105A781" w14:textId="77777777" w:rsidTr="00690040">
        <w:trPr>
          <w:trHeight w:val="254"/>
        </w:trPr>
        <w:tc>
          <w:tcPr>
            <w:tcW w:w="1855" w:type="dxa"/>
            <w:vMerge w:val="restart"/>
            <w:vAlign w:val="center"/>
          </w:tcPr>
          <w:p w14:paraId="50280DB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lastRenderedPageBreak/>
              <w:t>Effect-present</w:t>
            </w:r>
          </w:p>
        </w:tc>
        <w:tc>
          <w:tcPr>
            <w:tcW w:w="1763" w:type="dxa"/>
            <w:vMerge w:val="restart"/>
            <w:vAlign w:val="center"/>
          </w:tcPr>
          <w:p w14:paraId="2BA2A07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18F2A23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2F44E4A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96.1%</w:t>
            </w:r>
          </w:p>
        </w:tc>
      </w:tr>
      <w:tr w:rsidR="00764BD8" w:rsidRPr="00087B21" w14:paraId="1FF66CDF" w14:textId="77777777" w:rsidTr="00690040">
        <w:trPr>
          <w:trHeight w:val="143"/>
        </w:trPr>
        <w:tc>
          <w:tcPr>
            <w:tcW w:w="1855" w:type="dxa"/>
            <w:vMerge/>
            <w:vAlign w:val="center"/>
          </w:tcPr>
          <w:p w14:paraId="50F7AD7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48C7AC5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2F2C5F2D"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544C10B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0529643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0.641</w:t>
            </w:r>
          </w:p>
        </w:tc>
      </w:tr>
      <w:tr w:rsidR="00764BD8" w:rsidRPr="00087B21" w14:paraId="764785B2" w14:textId="77777777" w:rsidTr="00690040">
        <w:trPr>
          <w:trHeight w:val="143"/>
        </w:trPr>
        <w:tc>
          <w:tcPr>
            <w:tcW w:w="1855" w:type="dxa"/>
            <w:vMerge/>
            <w:vAlign w:val="center"/>
          </w:tcPr>
          <w:p w14:paraId="4BBB672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6F71093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5E7BC98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4DEF9A7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7C0566D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0.352</w:t>
            </w:r>
          </w:p>
        </w:tc>
      </w:tr>
      <w:tr w:rsidR="00764BD8" w:rsidRPr="00087B21" w14:paraId="598A5290" w14:textId="77777777" w:rsidTr="00690040">
        <w:trPr>
          <w:trHeight w:val="143"/>
        </w:trPr>
        <w:tc>
          <w:tcPr>
            <w:tcW w:w="1855" w:type="dxa"/>
            <w:vMerge/>
            <w:vAlign w:val="center"/>
          </w:tcPr>
          <w:p w14:paraId="30E0E90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3F58E35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5016A87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1048F27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23.6%</w:t>
            </w:r>
          </w:p>
        </w:tc>
      </w:tr>
      <w:tr w:rsidR="00764BD8" w:rsidRPr="00087B21" w14:paraId="79CE49BB" w14:textId="77777777" w:rsidTr="00690040">
        <w:trPr>
          <w:trHeight w:val="143"/>
        </w:trPr>
        <w:tc>
          <w:tcPr>
            <w:tcW w:w="1855" w:type="dxa"/>
            <w:vMerge/>
            <w:vAlign w:val="center"/>
          </w:tcPr>
          <w:p w14:paraId="2A8E32E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2C43CAE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3FCB7A2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Power</w:t>
            </w:r>
          </w:p>
        </w:tc>
        <w:tc>
          <w:tcPr>
            <w:tcW w:w="2250" w:type="dxa"/>
            <w:vAlign w:val="center"/>
          </w:tcPr>
          <w:p w14:paraId="7C19DE2A"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076CF3B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0.466</w:t>
            </w:r>
          </w:p>
        </w:tc>
      </w:tr>
      <w:tr w:rsidR="00764BD8" w:rsidRPr="00087B21" w14:paraId="6DE12406" w14:textId="77777777" w:rsidTr="00690040">
        <w:trPr>
          <w:trHeight w:val="143"/>
        </w:trPr>
        <w:tc>
          <w:tcPr>
            <w:tcW w:w="1855" w:type="dxa"/>
            <w:vMerge/>
            <w:vAlign w:val="center"/>
          </w:tcPr>
          <w:p w14:paraId="79EF891C"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756BF2E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4951776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555DB5C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07128E1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0.411</w:t>
            </w:r>
          </w:p>
        </w:tc>
      </w:tr>
      <w:tr w:rsidR="00764BD8" w:rsidRPr="00087B21" w14:paraId="12062EA4" w14:textId="77777777" w:rsidTr="00690040">
        <w:trPr>
          <w:trHeight w:val="237"/>
        </w:trPr>
        <w:tc>
          <w:tcPr>
            <w:tcW w:w="1855" w:type="dxa"/>
            <w:vMerge w:val="restart"/>
            <w:vAlign w:val="center"/>
          </w:tcPr>
          <w:p w14:paraId="712FF21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Effect-absent</w:t>
            </w:r>
          </w:p>
        </w:tc>
        <w:tc>
          <w:tcPr>
            <w:tcW w:w="1763" w:type="dxa"/>
            <w:vMerge w:val="restart"/>
            <w:vAlign w:val="center"/>
          </w:tcPr>
          <w:p w14:paraId="576641A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Before exclusion</w:t>
            </w:r>
          </w:p>
        </w:tc>
        <w:tc>
          <w:tcPr>
            <w:tcW w:w="3510" w:type="dxa"/>
            <w:gridSpan w:val="2"/>
            <w:vAlign w:val="center"/>
          </w:tcPr>
          <w:p w14:paraId="08F09409"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106BC8E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97.0%</w:t>
            </w:r>
          </w:p>
        </w:tc>
      </w:tr>
      <w:tr w:rsidR="00764BD8" w:rsidRPr="00087B21" w14:paraId="25455126" w14:textId="77777777" w:rsidTr="00690040">
        <w:trPr>
          <w:trHeight w:val="143"/>
        </w:trPr>
        <w:tc>
          <w:tcPr>
            <w:tcW w:w="1855" w:type="dxa"/>
            <w:vMerge/>
            <w:vAlign w:val="center"/>
          </w:tcPr>
          <w:p w14:paraId="12380752"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0A7DA20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10BE3DE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6D5908A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0BADCAA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0.000</w:t>
            </w:r>
          </w:p>
        </w:tc>
      </w:tr>
      <w:tr w:rsidR="00764BD8" w:rsidRPr="00087B21" w14:paraId="0724A50C" w14:textId="77777777" w:rsidTr="00690040">
        <w:trPr>
          <w:trHeight w:val="143"/>
        </w:trPr>
        <w:tc>
          <w:tcPr>
            <w:tcW w:w="1855" w:type="dxa"/>
            <w:vMerge/>
            <w:vAlign w:val="center"/>
          </w:tcPr>
          <w:p w14:paraId="6F46F3C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1002CC06"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5659B49B"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4A72818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25DF6B50"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0.066</w:t>
            </w:r>
          </w:p>
        </w:tc>
      </w:tr>
      <w:tr w:rsidR="00764BD8" w:rsidRPr="00087B21" w14:paraId="180F31EB" w14:textId="77777777" w:rsidTr="00690040">
        <w:trPr>
          <w:trHeight w:val="143"/>
        </w:trPr>
        <w:tc>
          <w:tcPr>
            <w:tcW w:w="1855" w:type="dxa"/>
            <w:vMerge/>
            <w:vAlign w:val="center"/>
          </w:tcPr>
          <w:p w14:paraId="23DC6DB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restart"/>
            <w:vAlign w:val="center"/>
          </w:tcPr>
          <w:p w14:paraId="5A68D8D8"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After exclusion</w:t>
            </w:r>
          </w:p>
        </w:tc>
        <w:tc>
          <w:tcPr>
            <w:tcW w:w="3510" w:type="dxa"/>
            <w:gridSpan w:val="2"/>
            <w:vAlign w:val="center"/>
          </w:tcPr>
          <w:p w14:paraId="0353C37E"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 non-normal samples</w:t>
            </w:r>
          </w:p>
        </w:tc>
        <w:tc>
          <w:tcPr>
            <w:tcW w:w="1599" w:type="dxa"/>
          </w:tcPr>
          <w:p w14:paraId="3F7F774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52.4%</w:t>
            </w:r>
          </w:p>
        </w:tc>
      </w:tr>
      <w:tr w:rsidR="00764BD8" w:rsidRPr="00087B21" w14:paraId="2E6E56A1" w14:textId="77777777" w:rsidTr="00690040">
        <w:trPr>
          <w:trHeight w:val="143"/>
        </w:trPr>
        <w:tc>
          <w:tcPr>
            <w:tcW w:w="1855" w:type="dxa"/>
            <w:vMerge/>
            <w:vAlign w:val="center"/>
          </w:tcPr>
          <w:p w14:paraId="19FAB00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4140DEF4"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restart"/>
            <w:vAlign w:val="center"/>
          </w:tcPr>
          <w:p w14:paraId="70B6169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FPR</w:t>
            </w:r>
          </w:p>
        </w:tc>
        <w:tc>
          <w:tcPr>
            <w:tcW w:w="2250" w:type="dxa"/>
            <w:vAlign w:val="center"/>
          </w:tcPr>
          <w:p w14:paraId="148EC5C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Normal samples</w:t>
            </w:r>
          </w:p>
        </w:tc>
        <w:tc>
          <w:tcPr>
            <w:tcW w:w="1599" w:type="dxa"/>
          </w:tcPr>
          <w:p w14:paraId="4445377C"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0.059</w:t>
            </w:r>
          </w:p>
        </w:tc>
      </w:tr>
      <w:tr w:rsidR="00764BD8" w:rsidRPr="00087B21" w14:paraId="41BDE7B8" w14:textId="77777777" w:rsidTr="00690040">
        <w:trPr>
          <w:trHeight w:val="143"/>
        </w:trPr>
        <w:tc>
          <w:tcPr>
            <w:tcW w:w="1855" w:type="dxa"/>
            <w:vMerge/>
            <w:vAlign w:val="center"/>
          </w:tcPr>
          <w:p w14:paraId="59FE3C5F"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763" w:type="dxa"/>
            <w:vMerge/>
            <w:vAlign w:val="center"/>
          </w:tcPr>
          <w:p w14:paraId="095EF935"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1260" w:type="dxa"/>
            <w:vMerge/>
            <w:vAlign w:val="center"/>
          </w:tcPr>
          <w:p w14:paraId="1B8B20ED"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p>
        </w:tc>
        <w:tc>
          <w:tcPr>
            <w:tcW w:w="2250" w:type="dxa"/>
            <w:vAlign w:val="center"/>
          </w:tcPr>
          <w:p w14:paraId="437AE031"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highlight w:val="white"/>
              </w:rPr>
            </w:pPr>
            <w:r w:rsidRPr="00087B21">
              <w:rPr>
                <w:rFonts w:ascii="Times New Roman" w:eastAsia="Times New Roman" w:hAnsi="Times New Roman" w:cs="Times New Roman"/>
                <w:b/>
                <w:sz w:val="24"/>
                <w:szCs w:val="24"/>
                <w:highlight w:val="white"/>
              </w:rPr>
              <w:t>Non-normal samples</w:t>
            </w:r>
          </w:p>
        </w:tc>
        <w:tc>
          <w:tcPr>
            <w:tcW w:w="1599" w:type="dxa"/>
          </w:tcPr>
          <w:p w14:paraId="5BF78533" w14:textId="77777777" w:rsidR="00764BD8" w:rsidRPr="00087B21" w:rsidRDefault="00764BD8" w:rsidP="00690040">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highlight w:val="white"/>
              </w:rPr>
            </w:pPr>
            <w:r w:rsidRPr="00087B21">
              <w:rPr>
                <w:rFonts w:ascii="Times New Roman" w:eastAsia="Times New Roman" w:hAnsi="Times New Roman" w:cs="Times New Roman"/>
                <w:sz w:val="24"/>
                <w:szCs w:val="24"/>
                <w:highlight w:val="white"/>
              </w:rPr>
              <w:t>0.074</w:t>
            </w:r>
          </w:p>
        </w:tc>
      </w:tr>
    </w:tbl>
    <w:p w14:paraId="2D6F50CA" w14:textId="77777777" w:rsidR="00764BD8" w:rsidRPr="008B0045" w:rsidRDefault="00764BD8" w:rsidP="00764BD8">
      <w:pPr>
        <w:pStyle w:val="Normal1"/>
        <w:rPr>
          <w:rFonts w:ascii="Times New Roman" w:eastAsia="Times New Roman" w:hAnsi="Times New Roman" w:cs="Times New Roman"/>
          <w:sz w:val="24"/>
          <w:szCs w:val="24"/>
          <w:highlight w:val="white"/>
        </w:rPr>
      </w:pPr>
      <w:r w:rsidRPr="008B0045">
        <w:rPr>
          <w:rFonts w:ascii="Times New Roman" w:eastAsia="Times New Roman" w:hAnsi="Times New Roman" w:cs="Times New Roman"/>
          <w:sz w:val="24"/>
          <w:szCs w:val="24"/>
          <w:highlight w:val="white"/>
        </w:rPr>
        <w:t>Table 5. Power and false positive rates (FPR) in normal vs. non-normal samples before and after exclusion in the within-subjects design (n=20).</w:t>
      </w:r>
    </w:p>
    <w:p w14:paraId="044A3771" w14:textId="77777777" w:rsidR="00693C17" w:rsidRPr="008B0045" w:rsidRDefault="00693C17" w:rsidP="003860A9">
      <w:pPr>
        <w:pStyle w:val="Normal1"/>
        <w:rPr>
          <w:rFonts w:ascii="Times New Roman" w:eastAsia="Times New Roman" w:hAnsi="Times New Roman" w:cs="Times New Roman"/>
          <w:sz w:val="24"/>
          <w:szCs w:val="24"/>
          <w:highlight w:val="white"/>
        </w:rPr>
      </w:pPr>
    </w:p>
    <w:p w14:paraId="56B121E4" w14:textId="77777777" w:rsidR="001D6981" w:rsidRPr="008B0045" w:rsidRDefault="001D6981">
      <w:pPr>
        <w:pStyle w:val="Normal1"/>
        <w:rPr>
          <w:rFonts w:ascii="Times New Roman" w:eastAsia="Times New Roman" w:hAnsi="Times New Roman" w:cs="Times New Roman"/>
          <w:sz w:val="24"/>
          <w:szCs w:val="24"/>
          <w:highlight w:val="white"/>
        </w:rPr>
      </w:pPr>
    </w:p>
    <w:p w14:paraId="3ADDBAEC" w14:textId="77777777" w:rsidR="00BE650C" w:rsidRPr="008B0045" w:rsidRDefault="00BE650C" w:rsidP="00BE650C">
      <w:pPr>
        <w:pStyle w:val="Normal1"/>
        <w:rPr>
          <w:rFonts w:ascii="Times New Roman" w:hAnsi="Times New Roman" w:cs="Times New Roman"/>
          <w:color w:val="000000" w:themeColor="text1"/>
          <w:sz w:val="24"/>
          <w:szCs w:val="24"/>
          <w:u w:val="single"/>
        </w:rPr>
      </w:pPr>
      <w:r w:rsidRPr="008B0045">
        <w:rPr>
          <w:rFonts w:ascii="Times New Roman" w:hAnsi="Times New Roman" w:cs="Times New Roman"/>
          <w:color w:val="000000" w:themeColor="text1"/>
          <w:sz w:val="24"/>
          <w:szCs w:val="24"/>
          <w:u w:val="single"/>
        </w:rPr>
        <w:t xml:space="preserve">Applying subject exclusion to </w:t>
      </w:r>
      <w:proofErr w:type="spellStart"/>
      <w:r w:rsidRPr="008B0045">
        <w:rPr>
          <w:rFonts w:ascii="Times New Roman" w:hAnsi="Times New Roman" w:cs="Times New Roman"/>
          <w:color w:val="000000" w:themeColor="text1"/>
          <w:sz w:val="24"/>
          <w:szCs w:val="24"/>
          <w:u w:val="single"/>
        </w:rPr>
        <w:t>Rounis</w:t>
      </w:r>
      <w:proofErr w:type="spellEnd"/>
      <w:r w:rsidRPr="008B0045">
        <w:rPr>
          <w:rFonts w:ascii="Times New Roman" w:hAnsi="Times New Roman" w:cs="Times New Roman"/>
          <w:color w:val="000000" w:themeColor="text1"/>
          <w:sz w:val="24"/>
          <w:szCs w:val="24"/>
          <w:u w:val="single"/>
        </w:rPr>
        <w:t xml:space="preserve"> et al.’s (2010) original dataset: </w:t>
      </w:r>
    </w:p>
    <w:p w14:paraId="646DFD78" w14:textId="77777777" w:rsidR="001D6981" w:rsidRPr="008B0045" w:rsidRDefault="001D6981">
      <w:pPr>
        <w:pStyle w:val="Normal1"/>
        <w:rPr>
          <w:rFonts w:ascii="Times New Roman" w:eastAsia="Times New Roman" w:hAnsi="Times New Roman" w:cs="Times New Roman"/>
          <w:sz w:val="24"/>
          <w:szCs w:val="24"/>
        </w:rPr>
      </w:pPr>
    </w:p>
    <w:p w14:paraId="79950026" w14:textId="77777777" w:rsidR="00BE650C" w:rsidRPr="008B0045" w:rsidRDefault="00BE650C" w:rsidP="00BE650C">
      <w:pPr>
        <w:pStyle w:val="Normal1"/>
        <w:spacing w:after="200"/>
        <w:ind w:firstLine="720"/>
        <w:jc w:val="both"/>
        <w:rPr>
          <w:rFonts w:ascii="Times New Roman" w:eastAsia="Times New Roman" w:hAnsi="Times New Roman" w:cs="Times New Roman"/>
          <w:sz w:val="24"/>
          <w:szCs w:val="24"/>
          <w:highlight w:val="white"/>
        </w:rPr>
      </w:pPr>
      <w:r w:rsidRPr="008B0045">
        <w:rPr>
          <w:rFonts w:ascii="Times New Roman" w:eastAsia="Times New Roman" w:hAnsi="Times New Roman" w:cs="Times New Roman"/>
          <w:sz w:val="24"/>
          <w:szCs w:val="24"/>
          <w:highlight w:val="white"/>
        </w:rPr>
        <w:t xml:space="preserve">We found that </w:t>
      </w:r>
      <w:proofErr w:type="spellStart"/>
      <w:r w:rsidRPr="008B0045">
        <w:rPr>
          <w:rFonts w:ascii="Times New Roman" w:eastAsia="Times New Roman" w:hAnsi="Times New Roman" w:cs="Times New Roman"/>
          <w:sz w:val="24"/>
          <w:szCs w:val="24"/>
          <w:highlight w:val="white"/>
        </w:rPr>
        <w:t>Rounis</w:t>
      </w:r>
      <w:proofErr w:type="spellEnd"/>
      <w:r w:rsidRPr="008B0045">
        <w:rPr>
          <w:rFonts w:ascii="Times New Roman" w:eastAsia="Times New Roman" w:hAnsi="Times New Roman" w:cs="Times New Roman"/>
          <w:sz w:val="24"/>
          <w:szCs w:val="24"/>
          <w:highlight w:val="white"/>
        </w:rPr>
        <w:t xml:space="preserve"> et al.’s (2010) original dataset of 20 subjects exhibited violations of normality, and so we applied </w:t>
      </w:r>
      <w:proofErr w:type="spellStart"/>
      <w:r w:rsidRPr="008B0045">
        <w:rPr>
          <w:rFonts w:ascii="Times New Roman" w:eastAsia="Times New Roman" w:hAnsi="Times New Roman" w:cs="Times New Roman"/>
          <w:sz w:val="24"/>
          <w:szCs w:val="24"/>
          <w:highlight w:val="white"/>
        </w:rPr>
        <w:t>Bor</w:t>
      </w:r>
      <w:proofErr w:type="spellEnd"/>
      <w:r w:rsidRPr="008B0045">
        <w:rPr>
          <w:rFonts w:ascii="Times New Roman" w:eastAsia="Times New Roman" w:hAnsi="Times New Roman" w:cs="Times New Roman"/>
          <w:sz w:val="24"/>
          <w:szCs w:val="24"/>
          <w:highlight w:val="white"/>
        </w:rPr>
        <w:t xml:space="preserve"> et al.’s (2017) exclusion criteria and ran a 2 x 2 within-subjects ANOVA on metacognitive sensitivity with factors TMS type (Real-TMS, Sham-TMS) and time (Pre-TMS, Post-TMS) after exclusion. Although this analysis did return a non-significant result in the interaction between TMS type and time (</w:t>
      </w:r>
      <w:proofErr w:type="gramStart"/>
      <w:r w:rsidRPr="008B0045">
        <w:rPr>
          <w:rFonts w:ascii="Times New Roman" w:eastAsia="Times New Roman" w:hAnsi="Times New Roman" w:cs="Times New Roman"/>
          <w:sz w:val="24"/>
          <w:szCs w:val="24"/>
          <w:highlight w:val="white"/>
        </w:rPr>
        <w:t>F(</w:t>
      </w:r>
      <w:proofErr w:type="gramEnd"/>
      <w:r w:rsidRPr="008B0045">
        <w:rPr>
          <w:rFonts w:ascii="Times New Roman" w:eastAsia="Times New Roman" w:hAnsi="Times New Roman" w:cs="Times New Roman"/>
          <w:sz w:val="24"/>
          <w:szCs w:val="24"/>
          <w:highlight w:val="white"/>
        </w:rPr>
        <w:t xml:space="preserve">1,6) = .0734, p = 0.796), we note that applying </w:t>
      </w:r>
      <w:proofErr w:type="spellStart"/>
      <w:r w:rsidRPr="008B0045">
        <w:rPr>
          <w:rFonts w:ascii="Times New Roman" w:eastAsia="Times New Roman" w:hAnsi="Times New Roman" w:cs="Times New Roman"/>
          <w:sz w:val="24"/>
          <w:szCs w:val="24"/>
          <w:highlight w:val="white"/>
        </w:rPr>
        <w:t>Bor</w:t>
      </w:r>
      <w:proofErr w:type="spellEnd"/>
      <w:r w:rsidRPr="008B0045">
        <w:rPr>
          <w:rFonts w:ascii="Times New Roman" w:eastAsia="Times New Roman" w:hAnsi="Times New Roman" w:cs="Times New Roman"/>
          <w:sz w:val="24"/>
          <w:szCs w:val="24"/>
          <w:highlight w:val="white"/>
        </w:rPr>
        <w:t xml:space="preserve"> et al.’s exclusion criteria led to eliminating 13 out of 20 subjects -- i.e., a loss of 65% -- leaving only 7 for the analysis. This large reduction in sample size is more than enough to account for the null finding after exclusion. This interpretation is bolstered by the result obtained when we included the full 20 subject sample from </w:t>
      </w:r>
      <w:proofErr w:type="spellStart"/>
      <w:r w:rsidRPr="008B0045">
        <w:rPr>
          <w:rFonts w:ascii="Times New Roman" w:eastAsia="Times New Roman" w:hAnsi="Times New Roman" w:cs="Times New Roman"/>
          <w:sz w:val="24"/>
          <w:szCs w:val="24"/>
          <w:highlight w:val="white"/>
        </w:rPr>
        <w:t>Rounis</w:t>
      </w:r>
      <w:proofErr w:type="spellEnd"/>
      <w:r w:rsidRPr="008B0045">
        <w:rPr>
          <w:rFonts w:ascii="Times New Roman" w:eastAsia="Times New Roman" w:hAnsi="Times New Roman" w:cs="Times New Roman"/>
          <w:sz w:val="24"/>
          <w:szCs w:val="24"/>
          <w:highlight w:val="white"/>
        </w:rPr>
        <w:t xml:space="preserve"> et al. but replaced the (parametric) 2 x 2 within-subjects ANOVA used in the original study (for which a significant interaction was reported) with permutation tests to examine statistical significance. Even with the loss of power that can sometimes result from replacing parametric tests with nonparametric ones (although sometimes parametric tests have </w:t>
      </w:r>
      <w:r w:rsidRPr="008B0045">
        <w:rPr>
          <w:rFonts w:ascii="Times New Roman" w:eastAsia="Times New Roman" w:hAnsi="Times New Roman" w:cs="Times New Roman"/>
          <w:i/>
          <w:sz w:val="24"/>
          <w:szCs w:val="24"/>
          <w:highlight w:val="white"/>
        </w:rPr>
        <w:t>greater</w:t>
      </w:r>
      <w:r w:rsidRPr="008B0045">
        <w:rPr>
          <w:rFonts w:ascii="Times New Roman" w:eastAsia="Times New Roman" w:hAnsi="Times New Roman" w:cs="Times New Roman"/>
          <w:sz w:val="24"/>
          <w:szCs w:val="24"/>
          <w:highlight w:val="white"/>
        </w:rPr>
        <w:t xml:space="preserve"> power when assumptions may not be met; Colquhoun, 1971), we observed an interaction between TMS type and time, suggesting again that the observed significant interaction in the original </w:t>
      </w:r>
      <w:proofErr w:type="spellStart"/>
      <w:r w:rsidRPr="008B0045">
        <w:rPr>
          <w:rFonts w:ascii="Times New Roman" w:eastAsia="Times New Roman" w:hAnsi="Times New Roman" w:cs="Times New Roman"/>
          <w:sz w:val="24"/>
          <w:szCs w:val="24"/>
          <w:highlight w:val="white"/>
        </w:rPr>
        <w:t>Rounis</w:t>
      </w:r>
      <w:proofErr w:type="spellEnd"/>
      <w:r w:rsidRPr="008B0045">
        <w:rPr>
          <w:rFonts w:ascii="Times New Roman" w:eastAsia="Times New Roman" w:hAnsi="Times New Roman" w:cs="Times New Roman"/>
          <w:sz w:val="24"/>
          <w:szCs w:val="24"/>
          <w:highlight w:val="white"/>
        </w:rPr>
        <w:t xml:space="preserve"> et al. (2010) study was indeed indicative of a true effect of TMS on metacognitive sensitivity. </w:t>
      </w:r>
    </w:p>
    <w:p w14:paraId="47B80497" w14:textId="77777777" w:rsidR="00BE650C" w:rsidRDefault="00BE650C">
      <w:pPr>
        <w:pStyle w:val="Normal1"/>
        <w:rPr>
          <w:rFonts w:ascii="Times New Roman" w:eastAsia="Times New Roman" w:hAnsi="Times New Roman" w:cs="Times New Roman"/>
        </w:rPr>
      </w:pPr>
    </w:p>
    <w:p w14:paraId="6758B0B2" w14:textId="77777777" w:rsidR="00BE650C" w:rsidRDefault="00BE650C">
      <w:pPr>
        <w:pStyle w:val="Normal1"/>
        <w:rPr>
          <w:rFonts w:ascii="Times New Roman" w:eastAsia="Times New Roman" w:hAnsi="Times New Roman" w:cs="Times New Roman"/>
        </w:rPr>
      </w:pPr>
    </w:p>
    <w:sectPr w:rsidR="00BE650C" w:rsidSect="001C3FBE">
      <w:footerReference w:type="default" r:id="rId7"/>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807E" w14:textId="77777777" w:rsidR="001307FF" w:rsidRDefault="001307FF">
      <w:pPr>
        <w:spacing w:line="240" w:lineRule="auto"/>
      </w:pPr>
      <w:r>
        <w:separator/>
      </w:r>
    </w:p>
  </w:endnote>
  <w:endnote w:type="continuationSeparator" w:id="0">
    <w:p w14:paraId="6DD5431B" w14:textId="77777777" w:rsidR="001307FF" w:rsidRDefault="00130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AppleMyungjo">
    <w:panose1 w:val="02000500000000000000"/>
    <w:charset w:val="81"/>
    <w:family w:val="auto"/>
    <w:pitch w:val="variable"/>
    <w:sig w:usb0="00000001" w:usb1="09060000" w:usb2="00000010" w:usb3="00000000" w:csb0="00280001" w:csb1="00000000"/>
  </w:font>
  <w:font w:name="Big Caslon">
    <w:panose1 w:val="02000603090000020003"/>
    <w:charset w:val="00"/>
    <w:family w:val="auto"/>
    <w:pitch w:val="variable"/>
    <w:sig w:usb0="80000863" w:usb1="00000000" w:usb2="00000000" w:usb3="00000000" w:csb0="000001FB"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502C" w14:textId="77777777" w:rsidR="00B86D12" w:rsidRDefault="00B86D12" w:rsidP="00AF0FB4">
    <w:pPr>
      <w:pStyle w:val="Normal1"/>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A1328">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D299" w14:textId="77777777" w:rsidR="001307FF" w:rsidRDefault="001307FF">
      <w:pPr>
        <w:spacing w:line="240" w:lineRule="auto"/>
      </w:pPr>
      <w:r>
        <w:separator/>
      </w:r>
    </w:p>
  </w:footnote>
  <w:footnote w:type="continuationSeparator" w:id="0">
    <w:p w14:paraId="6431D5F9" w14:textId="77777777" w:rsidR="001307FF" w:rsidRDefault="001307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D6981"/>
    <w:rsid w:val="00001A2F"/>
    <w:rsid w:val="00015A41"/>
    <w:rsid w:val="00032985"/>
    <w:rsid w:val="000544B9"/>
    <w:rsid w:val="00064A71"/>
    <w:rsid w:val="00084DB3"/>
    <w:rsid w:val="00087B21"/>
    <w:rsid w:val="00090DD5"/>
    <w:rsid w:val="000B65B6"/>
    <w:rsid w:val="000D58A6"/>
    <w:rsid w:val="000E2268"/>
    <w:rsid w:val="000E702E"/>
    <w:rsid w:val="001165E6"/>
    <w:rsid w:val="001167B2"/>
    <w:rsid w:val="00127DBB"/>
    <w:rsid w:val="00127ED3"/>
    <w:rsid w:val="001307FF"/>
    <w:rsid w:val="001A1328"/>
    <w:rsid w:val="001C3FBE"/>
    <w:rsid w:val="001D6981"/>
    <w:rsid w:val="001E4446"/>
    <w:rsid w:val="001F1181"/>
    <w:rsid w:val="0020574C"/>
    <w:rsid w:val="002645FB"/>
    <w:rsid w:val="00270336"/>
    <w:rsid w:val="00270860"/>
    <w:rsid w:val="00271F0A"/>
    <w:rsid w:val="002870F0"/>
    <w:rsid w:val="0029435C"/>
    <w:rsid w:val="002A15C1"/>
    <w:rsid w:val="002B1F60"/>
    <w:rsid w:val="002C58BE"/>
    <w:rsid w:val="002D5DAA"/>
    <w:rsid w:val="002E4509"/>
    <w:rsid w:val="002F1E23"/>
    <w:rsid w:val="00301E0F"/>
    <w:rsid w:val="00321C55"/>
    <w:rsid w:val="0033383F"/>
    <w:rsid w:val="0035460A"/>
    <w:rsid w:val="00375064"/>
    <w:rsid w:val="00376299"/>
    <w:rsid w:val="003860A9"/>
    <w:rsid w:val="00395113"/>
    <w:rsid w:val="003B0A96"/>
    <w:rsid w:val="003C7607"/>
    <w:rsid w:val="003E27A9"/>
    <w:rsid w:val="00412A64"/>
    <w:rsid w:val="00433932"/>
    <w:rsid w:val="004428ED"/>
    <w:rsid w:val="00446268"/>
    <w:rsid w:val="0045382C"/>
    <w:rsid w:val="00456A6C"/>
    <w:rsid w:val="0047114C"/>
    <w:rsid w:val="00477A1E"/>
    <w:rsid w:val="00490D22"/>
    <w:rsid w:val="0049322E"/>
    <w:rsid w:val="00495803"/>
    <w:rsid w:val="004A0A0C"/>
    <w:rsid w:val="004B1095"/>
    <w:rsid w:val="004B31C4"/>
    <w:rsid w:val="004C5927"/>
    <w:rsid w:val="004E312D"/>
    <w:rsid w:val="004F2E8C"/>
    <w:rsid w:val="00511A51"/>
    <w:rsid w:val="00513E2D"/>
    <w:rsid w:val="0051709A"/>
    <w:rsid w:val="00541803"/>
    <w:rsid w:val="00544152"/>
    <w:rsid w:val="00553EC7"/>
    <w:rsid w:val="00573B9F"/>
    <w:rsid w:val="00583E9C"/>
    <w:rsid w:val="00590675"/>
    <w:rsid w:val="005B3A1D"/>
    <w:rsid w:val="005B5A15"/>
    <w:rsid w:val="005D3F9E"/>
    <w:rsid w:val="005D4B96"/>
    <w:rsid w:val="005F204E"/>
    <w:rsid w:val="00601712"/>
    <w:rsid w:val="00605414"/>
    <w:rsid w:val="00611A90"/>
    <w:rsid w:val="00621DE9"/>
    <w:rsid w:val="00642A4A"/>
    <w:rsid w:val="006475E5"/>
    <w:rsid w:val="0065696A"/>
    <w:rsid w:val="00660059"/>
    <w:rsid w:val="00675B34"/>
    <w:rsid w:val="00690040"/>
    <w:rsid w:val="00692C07"/>
    <w:rsid w:val="00693C17"/>
    <w:rsid w:val="00693C9A"/>
    <w:rsid w:val="006A7AEC"/>
    <w:rsid w:val="006C3461"/>
    <w:rsid w:val="006C7B5D"/>
    <w:rsid w:val="00702379"/>
    <w:rsid w:val="00702709"/>
    <w:rsid w:val="0076014B"/>
    <w:rsid w:val="00761FB5"/>
    <w:rsid w:val="00764BD8"/>
    <w:rsid w:val="00783A0E"/>
    <w:rsid w:val="00786F1C"/>
    <w:rsid w:val="007908BF"/>
    <w:rsid w:val="0079307C"/>
    <w:rsid w:val="00794E2F"/>
    <w:rsid w:val="007B5B2D"/>
    <w:rsid w:val="007B71CE"/>
    <w:rsid w:val="007D0919"/>
    <w:rsid w:val="007D3207"/>
    <w:rsid w:val="007D3F6D"/>
    <w:rsid w:val="007F6B9A"/>
    <w:rsid w:val="00804F9E"/>
    <w:rsid w:val="00824BA9"/>
    <w:rsid w:val="008310A9"/>
    <w:rsid w:val="00832F7E"/>
    <w:rsid w:val="00892049"/>
    <w:rsid w:val="00894763"/>
    <w:rsid w:val="008B0045"/>
    <w:rsid w:val="008C3132"/>
    <w:rsid w:val="008D5A91"/>
    <w:rsid w:val="009327AE"/>
    <w:rsid w:val="009348F5"/>
    <w:rsid w:val="00956968"/>
    <w:rsid w:val="009610D7"/>
    <w:rsid w:val="009901A7"/>
    <w:rsid w:val="009A2FE4"/>
    <w:rsid w:val="009B1EDF"/>
    <w:rsid w:val="009C0988"/>
    <w:rsid w:val="009F56FF"/>
    <w:rsid w:val="00A418AA"/>
    <w:rsid w:val="00A422B9"/>
    <w:rsid w:val="00A5659E"/>
    <w:rsid w:val="00A6138D"/>
    <w:rsid w:val="00A77969"/>
    <w:rsid w:val="00AA60BE"/>
    <w:rsid w:val="00AB2E96"/>
    <w:rsid w:val="00AC3CDF"/>
    <w:rsid w:val="00AD7D8C"/>
    <w:rsid w:val="00AE7D74"/>
    <w:rsid w:val="00AF0FB4"/>
    <w:rsid w:val="00B17EDE"/>
    <w:rsid w:val="00B2104F"/>
    <w:rsid w:val="00B41B72"/>
    <w:rsid w:val="00B4747C"/>
    <w:rsid w:val="00B767F5"/>
    <w:rsid w:val="00B86D12"/>
    <w:rsid w:val="00BA2868"/>
    <w:rsid w:val="00BB76ED"/>
    <w:rsid w:val="00BE0BEA"/>
    <w:rsid w:val="00BE43CD"/>
    <w:rsid w:val="00BE650C"/>
    <w:rsid w:val="00BF32D6"/>
    <w:rsid w:val="00C36959"/>
    <w:rsid w:val="00C65685"/>
    <w:rsid w:val="00C75BDA"/>
    <w:rsid w:val="00C961B1"/>
    <w:rsid w:val="00CD699C"/>
    <w:rsid w:val="00D856CE"/>
    <w:rsid w:val="00DB2241"/>
    <w:rsid w:val="00DD7B3A"/>
    <w:rsid w:val="00DE123C"/>
    <w:rsid w:val="00DE17CA"/>
    <w:rsid w:val="00DE531A"/>
    <w:rsid w:val="00DE6266"/>
    <w:rsid w:val="00DF717F"/>
    <w:rsid w:val="00E00444"/>
    <w:rsid w:val="00E10060"/>
    <w:rsid w:val="00E35291"/>
    <w:rsid w:val="00E4778B"/>
    <w:rsid w:val="00E63619"/>
    <w:rsid w:val="00E66C97"/>
    <w:rsid w:val="00E85E0F"/>
    <w:rsid w:val="00EC65FA"/>
    <w:rsid w:val="00EE3915"/>
    <w:rsid w:val="00F062CD"/>
    <w:rsid w:val="00F131A0"/>
    <w:rsid w:val="00F15074"/>
    <w:rsid w:val="00F475B3"/>
    <w:rsid w:val="00F54687"/>
    <w:rsid w:val="00F54F6F"/>
    <w:rsid w:val="00F756F4"/>
    <w:rsid w:val="00F77F95"/>
    <w:rsid w:val="00F857E4"/>
    <w:rsid w:val="00F8671B"/>
    <w:rsid w:val="00FA1A16"/>
    <w:rsid w:val="00FD6132"/>
    <w:rsid w:val="00FD68EC"/>
    <w:rsid w:val="00FF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2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920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049"/>
    <w:rPr>
      <w:rFonts w:ascii="Lucida Grande" w:hAnsi="Lucida Grande" w:cs="Lucida Grande"/>
      <w:sz w:val="18"/>
      <w:szCs w:val="18"/>
    </w:rPr>
  </w:style>
  <w:style w:type="paragraph" w:styleId="Header">
    <w:name w:val="header"/>
    <w:basedOn w:val="Normal"/>
    <w:link w:val="HeaderChar"/>
    <w:uiPriority w:val="99"/>
    <w:unhideWhenUsed/>
    <w:rsid w:val="00AF0FB4"/>
    <w:pPr>
      <w:tabs>
        <w:tab w:val="center" w:pos="4680"/>
        <w:tab w:val="right" w:pos="9360"/>
      </w:tabs>
      <w:spacing w:line="240" w:lineRule="auto"/>
    </w:pPr>
  </w:style>
  <w:style w:type="character" w:customStyle="1" w:styleId="HeaderChar">
    <w:name w:val="Header Char"/>
    <w:basedOn w:val="DefaultParagraphFont"/>
    <w:link w:val="Header"/>
    <w:uiPriority w:val="99"/>
    <w:rsid w:val="00AF0FB4"/>
  </w:style>
  <w:style w:type="paragraph" w:styleId="Footer">
    <w:name w:val="footer"/>
    <w:basedOn w:val="Normal"/>
    <w:link w:val="FooterChar"/>
    <w:uiPriority w:val="99"/>
    <w:unhideWhenUsed/>
    <w:rsid w:val="00AF0FB4"/>
    <w:pPr>
      <w:tabs>
        <w:tab w:val="center" w:pos="4680"/>
        <w:tab w:val="right" w:pos="9360"/>
      </w:tabs>
      <w:spacing w:line="240" w:lineRule="auto"/>
    </w:pPr>
  </w:style>
  <w:style w:type="character" w:customStyle="1" w:styleId="FooterChar">
    <w:name w:val="Footer Char"/>
    <w:basedOn w:val="DefaultParagraphFont"/>
    <w:link w:val="Footer"/>
    <w:uiPriority w:val="99"/>
    <w:rsid w:val="00AF0FB4"/>
  </w:style>
  <w:style w:type="paragraph" w:styleId="Revision">
    <w:name w:val="Revision"/>
    <w:hidden/>
    <w:uiPriority w:val="99"/>
    <w:semiHidden/>
    <w:rsid w:val="004C5927"/>
    <w:pPr>
      <w:pBdr>
        <w:top w:val="none" w:sz="0" w:space="0" w:color="auto"/>
        <w:left w:val="none" w:sz="0" w:space="0" w:color="auto"/>
        <w:bottom w:val="none" w:sz="0" w:space="0" w:color="auto"/>
        <w:right w:val="none" w:sz="0" w:space="0" w:color="auto"/>
        <w:between w:val="none" w:sz="0" w:space="0" w:color="auto"/>
      </w:pBdr>
      <w:spacing w:line="240" w:lineRule="auto"/>
    </w:pPr>
  </w:style>
  <w:style w:type="table" w:styleId="TableGrid">
    <w:name w:val="Table Grid"/>
    <w:basedOn w:val="TableNormal"/>
    <w:uiPriority w:val="59"/>
    <w:rsid w:val="00832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31C4"/>
    <w:rPr>
      <w:b/>
      <w:bCs/>
      <w:sz w:val="20"/>
      <w:szCs w:val="20"/>
    </w:rPr>
  </w:style>
  <w:style w:type="character" w:customStyle="1" w:styleId="CommentSubjectChar">
    <w:name w:val="Comment Subject Char"/>
    <w:basedOn w:val="CommentTextChar"/>
    <w:link w:val="CommentSubject"/>
    <w:uiPriority w:val="99"/>
    <w:semiHidden/>
    <w:rsid w:val="004B31C4"/>
    <w:rPr>
      <w:b/>
      <w:bCs/>
      <w:sz w:val="20"/>
      <w:szCs w:val="20"/>
    </w:rPr>
  </w:style>
  <w:style w:type="paragraph" w:styleId="NormalWeb">
    <w:name w:val="Normal (Web)"/>
    <w:basedOn w:val="Normal"/>
    <w:uiPriority w:val="99"/>
    <w:unhideWhenUsed/>
    <w:rsid w:val="006C7B5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0149">
      <w:bodyDiv w:val="1"/>
      <w:marLeft w:val="0"/>
      <w:marRight w:val="0"/>
      <w:marTop w:val="0"/>
      <w:marBottom w:val="0"/>
      <w:divBdr>
        <w:top w:val="none" w:sz="0" w:space="0" w:color="auto"/>
        <w:left w:val="none" w:sz="0" w:space="0" w:color="auto"/>
        <w:bottom w:val="none" w:sz="0" w:space="0" w:color="auto"/>
        <w:right w:val="none" w:sz="0" w:space="0" w:color="auto"/>
      </w:divBdr>
    </w:div>
    <w:div w:id="350886465">
      <w:bodyDiv w:val="1"/>
      <w:marLeft w:val="0"/>
      <w:marRight w:val="0"/>
      <w:marTop w:val="0"/>
      <w:marBottom w:val="0"/>
      <w:divBdr>
        <w:top w:val="none" w:sz="0" w:space="0" w:color="auto"/>
        <w:left w:val="none" w:sz="0" w:space="0" w:color="auto"/>
        <w:bottom w:val="none" w:sz="0" w:space="0" w:color="auto"/>
        <w:right w:val="none" w:sz="0" w:space="0" w:color="auto"/>
      </w:divBdr>
    </w:div>
    <w:div w:id="415713251">
      <w:bodyDiv w:val="1"/>
      <w:marLeft w:val="0"/>
      <w:marRight w:val="0"/>
      <w:marTop w:val="0"/>
      <w:marBottom w:val="0"/>
      <w:divBdr>
        <w:top w:val="none" w:sz="0" w:space="0" w:color="auto"/>
        <w:left w:val="none" w:sz="0" w:space="0" w:color="auto"/>
        <w:bottom w:val="none" w:sz="0" w:space="0" w:color="auto"/>
        <w:right w:val="none" w:sz="0" w:space="0" w:color="auto"/>
      </w:divBdr>
    </w:div>
    <w:div w:id="593127099">
      <w:bodyDiv w:val="1"/>
      <w:marLeft w:val="0"/>
      <w:marRight w:val="0"/>
      <w:marTop w:val="0"/>
      <w:marBottom w:val="0"/>
      <w:divBdr>
        <w:top w:val="none" w:sz="0" w:space="0" w:color="auto"/>
        <w:left w:val="none" w:sz="0" w:space="0" w:color="auto"/>
        <w:bottom w:val="none" w:sz="0" w:space="0" w:color="auto"/>
        <w:right w:val="none" w:sz="0" w:space="0" w:color="auto"/>
      </w:divBdr>
    </w:div>
    <w:div w:id="624193937">
      <w:bodyDiv w:val="1"/>
      <w:marLeft w:val="0"/>
      <w:marRight w:val="0"/>
      <w:marTop w:val="0"/>
      <w:marBottom w:val="0"/>
      <w:divBdr>
        <w:top w:val="none" w:sz="0" w:space="0" w:color="auto"/>
        <w:left w:val="none" w:sz="0" w:space="0" w:color="auto"/>
        <w:bottom w:val="none" w:sz="0" w:space="0" w:color="auto"/>
        <w:right w:val="none" w:sz="0" w:space="0" w:color="auto"/>
      </w:divBdr>
    </w:div>
    <w:div w:id="772020412">
      <w:bodyDiv w:val="1"/>
      <w:marLeft w:val="0"/>
      <w:marRight w:val="0"/>
      <w:marTop w:val="0"/>
      <w:marBottom w:val="0"/>
      <w:divBdr>
        <w:top w:val="none" w:sz="0" w:space="0" w:color="auto"/>
        <w:left w:val="none" w:sz="0" w:space="0" w:color="auto"/>
        <w:bottom w:val="none" w:sz="0" w:space="0" w:color="auto"/>
        <w:right w:val="none" w:sz="0" w:space="0" w:color="auto"/>
      </w:divBdr>
    </w:div>
    <w:div w:id="797337829">
      <w:bodyDiv w:val="1"/>
      <w:marLeft w:val="0"/>
      <w:marRight w:val="0"/>
      <w:marTop w:val="0"/>
      <w:marBottom w:val="0"/>
      <w:divBdr>
        <w:top w:val="none" w:sz="0" w:space="0" w:color="auto"/>
        <w:left w:val="none" w:sz="0" w:space="0" w:color="auto"/>
        <w:bottom w:val="none" w:sz="0" w:space="0" w:color="auto"/>
        <w:right w:val="none" w:sz="0" w:space="0" w:color="auto"/>
      </w:divBdr>
    </w:div>
    <w:div w:id="974220358">
      <w:bodyDiv w:val="1"/>
      <w:marLeft w:val="0"/>
      <w:marRight w:val="0"/>
      <w:marTop w:val="0"/>
      <w:marBottom w:val="0"/>
      <w:divBdr>
        <w:top w:val="none" w:sz="0" w:space="0" w:color="auto"/>
        <w:left w:val="none" w:sz="0" w:space="0" w:color="auto"/>
        <w:bottom w:val="none" w:sz="0" w:space="0" w:color="auto"/>
        <w:right w:val="none" w:sz="0" w:space="0" w:color="auto"/>
      </w:divBdr>
    </w:div>
    <w:div w:id="1266814732">
      <w:bodyDiv w:val="1"/>
      <w:marLeft w:val="0"/>
      <w:marRight w:val="0"/>
      <w:marTop w:val="0"/>
      <w:marBottom w:val="0"/>
      <w:divBdr>
        <w:top w:val="none" w:sz="0" w:space="0" w:color="auto"/>
        <w:left w:val="none" w:sz="0" w:space="0" w:color="auto"/>
        <w:bottom w:val="none" w:sz="0" w:space="0" w:color="auto"/>
        <w:right w:val="none" w:sz="0" w:space="0" w:color="auto"/>
      </w:divBdr>
    </w:div>
    <w:div w:id="1277635695">
      <w:bodyDiv w:val="1"/>
      <w:marLeft w:val="0"/>
      <w:marRight w:val="0"/>
      <w:marTop w:val="0"/>
      <w:marBottom w:val="0"/>
      <w:divBdr>
        <w:top w:val="none" w:sz="0" w:space="0" w:color="auto"/>
        <w:left w:val="none" w:sz="0" w:space="0" w:color="auto"/>
        <w:bottom w:val="none" w:sz="0" w:space="0" w:color="auto"/>
        <w:right w:val="none" w:sz="0" w:space="0" w:color="auto"/>
      </w:divBdr>
    </w:div>
    <w:div w:id="1373726838">
      <w:bodyDiv w:val="1"/>
      <w:marLeft w:val="0"/>
      <w:marRight w:val="0"/>
      <w:marTop w:val="0"/>
      <w:marBottom w:val="0"/>
      <w:divBdr>
        <w:top w:val="none" w:sz="0" w:space="0" w:color="auto"/>
        <w:left w:val="none" w:sz="0" w:space="0" w:color="auto"/>
        <w:bottom w:val="none" w:sz="0" w:space="0" w:color="auto"/>
        <w:right w:val="none" w:sz="0" w:space="0" w:color="auto"/>
      </w:divBdr>
    </w:div>
    <w:div w:id="1486780386">
      <w:bodyDiv w:val="1"/>
      <w:marLeft w:val="0"/>
      <w:marRight w:val="0"/>
      <w:marTop w:val="0"/>
      <w:marBottom w:val="0"/>
      <w:divBdr>
        <w:top w:val="none" w:sz="0" w:space="0" w:color="auto"/>
        <w:left w:val="none" w:sz="0" w:space="0" w:color="auto"/>
        <w:bottom w:val="none" w:sz="0" w:space="0" w:color="auto"/>
        <w:right w:val="none" w:sz="0" w:space="0" w:color="auto"/>
      </w:divBdr>
    </w:div>
    <w:div w:id="1772505362">
      <w:bodyDiv w:val="1"/>
      <w:marLeft w:val="0"/>
      <w:marRight w:val="0"/>
      <w:marTop w:val="0"/>
      <w:marBottom w:val="0"/>
      <w:divBdr>
        <w:top w:val="none" w:sz="0" w:space="0" w:color="auto"/>
        <w:left w:val="none" w:sz="0" w:space="0" w:color="auto"/>
        <w:bottom w:val="none" w:sz="0" w:space="0" w:color="auto"/>
        <w:right w:val="none" w:sz="0" w:space="0" w:color="auto"/>
      </w:divBdr>
    </w:div>
    <w:div w:id="184289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 = '1.0' encoding = 'UTF-8' standalone = 'yes'?>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 = '1.0' encoding = 'UTF-8' standalone = '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5887-E67D-C84B-BDC7-4C1800BF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21</TotalTime>
  <Pages>7</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