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A5C05A" w14:textId="77777777" w:rsidR="00B30DEC" w:rsidRPr="00B32C56" w:rsidRDefault="00B30DEC" w:rsidP="00B30DEC">
      <w:pPr>
        <w:spacing w:after="0" w:line="480" w:lineRule="auto"/>
        <w:rPr>
          <w:rFonts w:eastAsia="Times New Roman"/>
        </w:rPr>
      </w:pPr>
      <w:r w:rsidRPr="00B32C56">
        <w:rPr>
          <w:rFonts w:eastAsia="Times New Roman"/>
          <w:b/>
          <w:bCs/>
          <w:color w:val="000000"/>
        </w:rPr>
        <w:t>Supplemental Material</w:t>
      </w:r>
    </w:p>
    <w:p w14:paraId="65D10260" w14:textId="77777777" w:rsidR="00B30DEC" w:rsidRPr="00B32C56" w:rsidRDefault="00B30DEC" w:rsidP="00B30DEC">
      <w:pPr>
        <w:spacing w:after="0" w:line="480" w:lineRule="auto"/>
        <w:rPr>
          <w:rFonts w:eastAsia="Times New Roman"/>
        </w:rPr>
      </w:pPr>
      <w:r w:rsidRPr="00B32C56">
        <w:rPr>
          <w:rFonts w:eastAsia="Times New Roman"/>
          <w:i/>
          <w:iCs/>
          <w:color w:val="000000"/>
        </w:rPr>
        <w:t>Model Simulation Details</w:t>
      </w:r>
    </w:p>
    <w:p w14:paraId="1E551A3B" w14:textId="688352A6" w:rsidR="00B30DEC" w:rsidRPr="00B32C56" w:rsidRDefault="007839D6" w:rsidP="00D90B1C">
      <w:pPr>
        <w:spacing w:after="0" w:line="480" w:lineRule="auto"/>
        <w:ind w:firstLine="720"/>
        <w:rPr>
          <w:rFonts w:eastAsia="Times New Roman"/>
        </w:rPr>
      </w:pPr>
      <w:r>
        <w:rPr>
          <w:rFonts w:eastAsia="Times New Roman"/>
          <w:color w:val="000000"/>
        </w:rPr>
        <w:t>We performed simulations of task performance and metacognition in the context of two-dimensional SDT models of the Balance of Evidence and Response-Congruent Evidence rules (Fig. 3). Following the logic of Fig. 4</w:t>
      </w:r>
      <w:proofErr w:type="gramStart"/>
      <w:r>
        <w:rPr>
          <w:rFonts w:eastAsia="Times New Roman"/>
          <w:color w:val="000000"/>
        </w:rPr>
        <w:t xml:space="preserve">, </w:t>
      </w:r>
      <w:r w:rsidR="00B30DEC" w:rsidRPr="00B32C56">
        <w:rPr>
          <w:rFonts w:eastAsia="Times New Roman"/>
          <w:color w:val="000000"/>
        </w:rPr>
        <w:t xml:space="preserve"> we</w:t>
      </w:r>
      <w:proofErr w:type="gramEnd"/>
      <w:r w:rsidR="00B30DEC" w:rsidRPr="00B32C56">
        <w:rPr>
          <w:rFonts w:eastAsia="Times New Roman"/>
          <w:color w:val="000000"/>
        </w:rPr>
        <w:t xml:space="preserve"> varied the mean of eS2 values</w:t>
      </w:r>
      <w:r>
        <w:rPr>
          <w:rFonts w:eastAsia="Times New Roman"/>
          <w:color w:val="000000"/>
        </w:rPr>
        <w:t xml:space="preserve"> while holding the S1 distribution constant</w:t>
      </w:r>
      <w:r w:rsidR="00B30DEC" w:rsidRPr="00B32C56">
        <w:rPr>
          <w:rFonts w:eastAsia="Times New Roman"/>
          <w:color w:val="000000"/>
        </w:rPr>
        <w:t>.  For all simulations,</w:t>
      </w:r>
      <w:r w:rsidR="00BE04D0">
        <w:rPr>
          <w:rFonts w:eastAsia="Times New Roman"/>
          <w:color w:val="000000"/>
        </w:rPr>
        <w:t xml:space="preserve"> for the S2 distribution,</w:t>
      </w:r>
      <w:r w:rsidR="00B30DEC" w:rsidRPr="00B32C56">
        <w:rPr>
          <w:rFonts w:eastAsia="Times New Roman"/>
          <w:color w:val="000000"/>
        </w:rPr>
        <w:t xml:space="preserve"> mean eS2 ranged from </w:t>
      </w:r>
      <w:r w:rsidR="00BE04D0">
        <w:rPr>
          <w:rFonts w:eastAsia="Times New Roman"/>
          <w:color w:val="000000"/>
        </w:rPr>
        <w:t>0</w:t>
      </w:r>
      <w:r w:rsidR="00B30DEC" w:rsidRPr="00B32C56">
        <w:rPr>
          <w:rFonts w:eastAsia="Times New Roman"/>
          <w:color w:val="000000"/>
        </w:rPr>
        <w:t>.05 to 3.05 in steps of 0.3</w:t>
      </w:r>
      <w:r w:rsidR="00BE04D0">
        <w:rPr>
          <w:rFonts w:eastAsia="Times New Roman"/>
          <w:color w:val="000000"/>
        </w:rPr>
        <w:t xml:space="preserve"> while mean eS1 was set to 0. For the S1 distribution, mean eS1 was set to 0.95 and mean eS2 was set to 0</w:t>
      </w:r>
      <w:r w:rsidR="00B30DEC" w:rsidRPr="00B32C56">
        <w:rPr>
          <w:rFonts w:eastAsia="Times New Roman"/>
          <w:color w:val="000000"/>
        </w:rPr>
        <w:t>.  The covariance matrix for S1 and S2 distributions was set to the 2 x 2 identity matrix (entailing a uniform standard deviation of 1 with no correlation between eS1 and eS2).  For each level of S2 strength, 100,000 samples of (eS1, eS2) were drawn from each of the S1 and S2 distributions.  Five evenly-spaced confidence criteria were used to rate confidence for each evidence sample.  Note that dividing the evidence space into N confidence regions requires setting 2N + 1 decision criteria: one for the stimulus judgment, and N-1 to divide the confidence space for each of the “S1” or “S2” responses into N possible ratings.  See main text for simulation results.</w:t>
      </w:r>
    </w:p>
    <w:p w14:paraId="41DC1EDA" w14:textId="77777777" w:rsidR="00B30DEC" w:rsidRPr="00B32C56" w:rsidRDefault="00B30DEC" w:rsidP="00D90B1C">
      <w:pPr>
        <w:spacing w:after="0" w:line="480" w:lineRule="auto"/>
        <w:ind w:firstLine="720"/>
        <w:rPr>
          <w:rFonts w:eastAsia="Times New Roman"/>
        </w:rPr>
      </w:pPr>
      <w:r w:rsidRPr="00B32C56">
        <w:rPr>
          <w:rFonts w:eastAsia="Times New Roman"/>
          <w:color w:val="000000"/>
        </w:rPr>
        <w:t>The above simulations were also conducted using values for confidence criteria that were adjusted for S2 stimulus strength, rather than remaining constant across all conditions. Likewise, simulations were repeated while adjusting the covariance matrix to create a correlation between eS1 and eS2 values of 0.3 (moderate) and 0.7 (strong). In all cases, results similar to the original simulation were obtained. In particular, every permutation of the simulations exhibited the distinct linear cross-over effect of the response-specific meta-d’ curves shown in Figure 4A. Thus, the predicted dissociation between task performance and response-specific metacognition under the Response-Congruent Evidence rule appears to be quite robust against changes in the parameters of the model.</w:t>
      </w:r>
    </w:p>
    <w:p w14:paraId="34986DBC" w14:textId="77777777" w:rsidR="00B30DEC" w:rsidRPr="00B32C56" w:rsidRDefault="00B30DEC" w:rsidP="00B30DEC">
      <w:pPr>
        <w:spacing w:after="0" w:line="480" w:lineRule="auto"/>
        <w:rPr>
          <w:rFonts w:eastAsia="Times New Roman"/>
        </w:rPr>
      </w:pPr>
    </w:p>
    <w:p w14:paraId="56B68549" w14:textId="77777777" w:rsidR="00B30DEC" w:rsidRPr="00B32C56" w:rsidRDefault="00B30DEC" w:rsidP="00B30DEC">
      <w:pPr>
        <w:spacing w:after="0" w:line="480" w:lineRule="auto"/>
        <w:rPr>
          <w:rFonts w:eastAsia="Times New Roman"/>
        </w:rPr>
      </w:pPr>
      <w:r w:rsidRPr="00B32C56">
        <w:rPr>
          <w:rFonts w:eastAsia="Times New Roman"/>
          <w:i/>
          <w:iCs/>
          <w:color w:val="000000"/>
        </w:rPr>
        <w:t>Discussion of Model Visualizations</w:t>
      </w:r>
    </w:p>
    <w:p w14:paraId="0307818E" w14:textId="77777777" w:rsidR="00107DC9" w:rsidRDefault="00B30DEC" w:rsidP="00107DC9">
      <w:pPr>
        <w:spacing w:after="0" w:line="480" w:lineRule="auto"/>
        <w:ind w:firstLine="720"/>
        <w:rPr>
          <w:rFonts w:eastAsia="Times New Roman"/>
          <w:color w:val="000000"/>
        </w:rPr>
      </w:pPr>
      <w:r w:rsidRPr="00B32C56">
        <w:rPr>
          <w:rFonts w:eastAsia="Times New Roman"/>
          <w:color w:val="000000"/>
        </w:rPr>
        <w:lastRenderedPageBreak/>
        <w:t>We first examined predictions for average confidence for correct and incorrect responses (Figure S1). For the Response-Congruent Evidence decision rule, average confidence for incorrect “S1” responses increases even as average confidence for correct “S1” responses remains constant</w:t>
      </w:r>
      <w:r w:rsidR="00BE04D0">
        <w:rPr>
          <w:rFonts w:eastAsia="Times New Roman"/>
          <w:color w:val="000000"/>
        </w:rPr>
        <w:t>, for the reasons explained in Fig. 4</w:t>
      </w:r>
      <w:r w:rsidRPr="00B32C56">
        <w:rPr>
          <w:rFonts w:eastAsia="Times New Roman"/>
          <w:color w:val="000000"/>
        </w:rPr>
        <w:t>. This pattern is not evident for “S2” responses, or for the Balance of Evidence rule.</w:t>
      </w:r>
    </w:p>
    <w:p w14:paraId="10129955" w14:textId="5201E58D" w:rsidR="00B30DEC" w:rsidRPr="00B32C56" w:rsidRDefault="005F5ED2" w:rsidP="00107DC9">
      <w:pPr>
        <w:spacing w:after="0" w:line="480" w:lineRule="auto"/>
        <w:ind w:firstLine="720"/>
        <w:rPr>
          <w:rFonts w:eastAsia="Times New Roman"/>
        </w:rPr>
      </w:pPr>
      <w:r>
        <w:rPr>
          <w:rFonts w:eastAsia="Times New Roman"/>
          <w:noProof/>
        </w:rPr>
        <w:drawing>
          <wp:inline distT="0" distB="0" distL="0" distR="0" wp14:anchorId="0888B647" wp14:editId="00F99CF8">
            <wp:extent cx="4995399" cy="5486400"/>
            <wp:effectExtent l="0" t="0" r="0" b="0"/>
            <wp:docPr id="1" name="Picture 5" descr="Description: C:\Users\maniscalcobs\Desktop\lab\publications\ongoing\old lab\active\PE\APP submission 1\figures\fig S1\fig 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maniscalcobs\Desktop\lab\publications\ongoing\old lab\active\PE\APP submission 1\figures\fig S1\fig S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95399" cy="5486400"/>
                    </a:xfrm>
                    <a:prstGeom prst="rect">
                      <a:avLst/>
                    </a:prstGeom>
                    <a:noFill/>
                    <a:ln>
                      <a:noFill/>
                    </a:ln>
                  </pic:spPr>
                </pic:pic>
              </a:graphicData>
            </a:graphic>
          </wp:inline>
        </w:drawing>
      </w:r>
    </w:p>
    <w:p w14:paraId="349110F8" w14:textId="77777777" w:rsidR="00B30DEC" w:rsidRDefault="00B30DEC" w:rsidP="00B30DEC">
      <w:pPr>
        <w:spacing w:after="0" w:line="480" w:lineRule="auto"/>
        <w:rPr>
          <w:rFonts w:eastAsia="Times New Roman" w:cs="Arial"/>
          <w:color w:val="000000"/>
        </w:rPr>
      </w:pPr>
      <w:r w:rsidRPr="00B32C56">
        <w:rPr>
          <w:rFonts w:eastAsia="Times New Roman" w:cs="Arial"/>
          <w:b/>
          <w:bCs/>
          <w:color w:val="000000"/>
        </w:rPr>
        <w:t>Figure S1.</w:t>
      </w:r>
      <w:r w:rsidRPr="00B32C56">
        <w:rPr>
          <w:rFonts w:eastAsia="Times New Roman" w:cs="Arial"/>
          <w:color w:val="000000"/>
        </w:rPr>
        <w:t xml:space="preserve"> </w:t>
      </w:r>
      <w:proofErr w:type="gramStart"/>
      <w:r w:rsidRPr="00B32C56">
        <w:rPr>
          <w:rFonts w:eastAsia="Times New Roman" w:cs="Arial"/>
          <w:color w:val="000000"/>
        </w:rPr>
        <w:t>Simulated values for response-specific mean confidence as a function of S2 stimulus strength.</w:t>
      </w:r>
      <w:proofErr w:type="gramEnd"/>
      <w:r w:rsidRPr="00B32C56">
        <w:rPr>
          <w:rFonts w:eastAsia="Times New Roman" w:cs="Arial"/>
          <w:color w:val="000000"/>
        </w:rPr>
        <w:t xml:space="preserve"> For trials on which the observer responds “S1” (top panel), the </w:t>
      </w:r>
      <w:r w:rsidR="00CE6DEF">
        <w:rPr>
          <w:rFonts w:eastAsia="Times New Roman" w:cs="Arial"/>
          <w:color w:val="000000"/>
        </w:rPr>
        <w:t>Balance of Evidence rule (BE)</w:t>
      </w:r>
      <w:r w:rsidRPr="00B32C56">
        <w:rPr>
          <w:rFonts w:eastAsia="Times New Roman" w:cs="Arial"/>
          <w:color w:val="000000"/>
        </w:rPr>
        <w:t xml:space="preserve"> and </w:t>
      </w:r>
      <w:r w:rsidR="00CE6DEF">
        <w:rPr>
          <w:rFonts w:eastAsia="Times New Roman" w:cs="Arial"/>
          <w:color w:val="000000"/>
        </w:rPr>
        <w:t xml:space="preserve">Response-Congruent Evidence rule (RCE) </w:t>
      </w:r>
      <w:r w:rsidRPr="00B32C56">
        <w:rPr>
          <w:rFonts w:eastAsia="Times New Roman" w:cs="Arial"/>
          <w:color w:val="000000"/>
        </w:rPr>
        <w:t xml:space="preserve">make opposite predictions about the relationship between </w:t>
      </w:r>
      <w:r w:rsidRPr="00B32C56">
        <w:rPr>
          <w:rFonts w:eastAsia="Times New Roman" w:cs="Arial"/>
          <w:color w:val="000000"/>
        </w:rPr>
        <w:lastRenderedPageBreak/>
        <w:t>mean confidence for incorrect responses</w:t>
      </w:r>
      <w:r w:rsidR="00CE6DEF">
        <w:rPr>
          <w:rFonts w:eastAsia="Times New Roman" w:cs="Arial"/>
          <w:color w:val="000000"/>
        </w:rPr>
        <w:t xml:space="preserve"> and S2 stimulus strength. The RC</w:t>
      </w:r>
      <w:r w:rsidRPr="00B32C56">
        <w:rPr>
          <w:rFonts w:eastAsia="Times New Roman" w:cs="Arial"/>
          <w:color w:val="000000"/>
        </w:rPr>
        <w:t>E decision rule uniquely predicts that as S2 becomes stronger, and therefore as task performance increases, the mean confidence for incorrect “S1” responses should increase even as confidence for correct “S1” responses remains constant. By contrast, the BE decision rule predicts that confidence for incorrect “S1” responses should decrease with increasing task performance.</w:t>
      </w:r>
    </w:p>
    <w:p w14:paraId="3C44D1AF" w14:textId="77777777" w:rsidR="00CE6DEF" w:rsidRDefault="00CE6DEF" w:rsidP="00B30DEC">
      <w:pPr>
        <w:spacing w:after="0" w:line="480" w:lineRule="auto"/>
        <w:rPr>
          <w:rFonts w:eastAsia="Times New Roman"/>
        </w:rPr>
      </w:pPr>
    </w:p>
    <w:p w14:paraId="372D0D60" w14:textId="77777777" w:rsidR="00CE6DEF" w:rsidRPr="00B32C56" w:rsidRDefault="00CE6DEF" w:rsidP="00B30DEC">
      <w:pPr>
        <w:spacing w:after="0" w:line="480" w:lineRule="auto"/>
        <w:rPr>
          <w:rFonts w:eastAsia="Times New Roman"/>
        </w:rPr>
      </w:pPr>
    </w:p>
    <w:p w14:paraId="5666FDCE" w14:textId="4A4B94FE" w:rsidR="00B30DEC" w:rsidRPr="00B32C56" w:rsidRDefault="00B30DEC" w:rsidP="00CE6DEF">
      <w:pPr>
        <w:spacing w:after="0" w:line="480" w:lineRule="auto"/>
        <w:ind w:firstLine="720"/>
        <w:rPr>
          <w:rFonts w:eastAsia="Times New Roman"/>
        </w:rPr>
      </w:pPr>
      <w:r w:rsidRPr="00B32C56">
        <w:rPr>
          <w:rFonts w:eastAsia="Times New Roman"/>
          <w:color w:val="000000"/>
        </w:rPr>
        <w:t xml:space="preserve">However, one concern in the simpler approach first adopted above is that average confidence depends on the values used for the confidence criteria, and whether confidence criteria are fixed across all conditions.  So, in addition to Figure S1, which assumes fixed criteria across conditions, in Figure S2 we plot </w:t>
      </w:r>
      <w:r w:rsidR="00BE04D0">
        <w:rPr>
          <w:rFonts w:eastAsia="Times New Roman"/>
          <w:color w:val="000000"/>
        </w:rPr>
        <w:t>t</w:t>
      </w:r>
      <w:r w:rsidR="00BE04D0" w:rsidRPr="00B32C56">
        <w:rPr>
          <w:rFonts w:eastAsia="Times New Roman"/>
          <w:color w:val="000000"/>
        </w:rPr>
        <w:t xml:space="preserve">ype </w:t>
      </w:r>
      <w:r w:rsidRPr="00B32C56">
        <w:rPr>
          <w:rFonts w:eastAsia="Times New Roman"/>
          <w:color w:val="000000"/>
        </w:rPr>
        <w:t>2 ROC curves (</w:t>
      </w:r>
      <w:r w:rsidR="00BE04D0">
        <w:rPr>
          <w:rFonts w:eastAsia="Times New Roman"/>
          <w:color w:val="000000"/>
        </w:rPr>
        <w:t>t</w:t>
      </w:r>
      <w:r w:rsidR="00BE04D0" w:rsidRPr="00B32C56">
        <w:rPr>
          <w:rFonts w:eastAsia="Times New Roman"/>
          <w:color w:val="000000"/>
        </w:rPr>
        <w:t xml:space="preserve">ype </w:t>
      </w:r>
      <w:r w:rsidRPr="00B32C56">
        <w:rPr>
          <w:rFonts w:eastAsia="Times New Roman"/>
          <w:color w:val="000000"/>
        </w:rPr>
        <w:t xml:space="preserve">2 </w:t>
      </w:r>
      <w:r w:rsidR="00BE04D0">
        <w:rPr>
          <w:rFonts w:eastAsia="Times New Roman"/>
          <w:color w:val="000000"/>
        </w:rPr>
        <w:t>h</w:t>
      </w:r>
      <w:r w:rsidR="00BE04D0" w:rsidRPr="00B32C56">
        <w:rPr>
          <w:rFonts w:eastAsia="Times New Roman"/>
          <w:color w:val="000000"/>
        </w:rPr>
        <w:t xml:space="preserve">it </w:t>
      </w:r>
      <w:r w:rsidR="00BE04D0">
        <w:rPr>
          <w:rFonts w:eastAsia="Times New Roman"/>
          <w:color w:val="000000"/>
        </w:rPr>
        <w:t>r</w:t>
      </w:r>
      <w:r w:rsidR="00BE04D0" w:rsidRPr="00B32C56">
        <w:rPr>
          <w:rFonts w:eastAsia="Times New Roman"/>
          <w:color w:val="000000"/>
        </w:rPr>
        <w:t xml:space="preserve">ate </w:t>
      </w:r>
      <w:r w:rsidRPr="00B32C56">
        <w:rPr>
          <w:rFonts w:eastAsia="Times New Roman"/>
          <w:color w:val="000000"/>
        </w:rPr>
        <w:t xml:space="preserve">– p(high confidence | correct discrimination) – vs. </w:t>
      </w:r>
      <w:r w:rsidR="00BE04D0">
        <w:rPr>
          <w:rFonts w:eastAsia="Times New Roman"/>
          <w:color w:val="000000"/>
        </w:rPr>
        <w:t>t</w:t>
      </w:r>
      <w:r w:rsidR="00BE04D0" w:rsidRPr="00B32C56">
        <w:rPr>
          <w:rFonts w:eastAsia="Times New Roman"/>
          <w:color w:val="000000"/>
        </w:rPr>
        <w:t xml:space="preserve">ype </w:t>
      </w:r>
      <w:r w:rsidRPr="00B32C56">
        <w:rPr>
          <w:rFonts w:eastAsia="Times New Roman"/>
          <w:color w:val="000000"/>
        </w:rPr>
        <w:t xml:space="preserve">2 </w:t>
      </w:r>
      <w:r w:rsidR="00BE04D0">
        <w:rPr>
          <w:rFonts w:eastAsia="Times New Roman"/>
          <w:color w:val="000000"/>
        </w:rPr>
        <w:t>f</w:t>
      </w:r>
      <w:r w:rsidR="00BE04D0" w:rsidRPr="00B32C56">
        <w:rPr>
          <w:rFonts w:eastAsia="Times New Roman"/>
          <w:color w:val="000000"/>
        </w:rPr>
        <w:t xml:space="preserve">alse </w:t>
      </w:r>
      <w:r w:rsidR="00BE04D0">
        <w:rPr>
          <w:rFonts w:eastAsia="Times New Roman"/>
          <w:color w:val="000000"/>
        </w:rPr>
        <w:t>a</w:t>
      </w:r>
      <w:r w:rsidR="00BE04D0" w:rsidRPr="00B32C56">
        <w:rPr>
          <w:rFonts w:eastAsia="Times New Roman"/>
          <w:color w:val="000000"/>
        </w:rPr>
        <w:t xml:space="preserve">larm </w:t>
      </w:r>
      <w:r w:rsidR="00BE04D0">
        <w:rPr>
          <w:rFonts w:eastAsia="Times New Roman"/>
          <w:color w:val="000000"/>
        </w:rPr>
        <w:t>r</w:t>
      </w:r>
      <w:r w:rsidR="00BE04D0" w:rsidRPr="00B32C56">
        <w:rPr>
          <w:rFonts w:eastAsia="Times New Roman"/>
          <w:color w:val="000000"/>
        </w:rPr>
        <w:t xml:space="preserve">ate </w:t>
      </w:r>
      <w:r w:rsidRPr="00B32C56">
        <w:rPr>
          <w:rFonts w:eastAsia="Times New Roman"/>
          <w:color w:val="000000"/>
        </w:rPr>
        <w:t xml:space="preserve">– p(high confidence | incorrect discrimination)), which do not depend on the exact placement of confidence criteria. The area under the </w:t>
      </w:r>
      <w:r w:rsidR="00BE04D0">
        <w:rPr>
          <w:rFonts w:eastAsia="Times New Roman"/>
          <w:color w:val="000000"/>
        </w:rPr>
        <w:t>t</w:t>
      </w:r>
      <w:r w:rsidR="00BE04D0" w:rsidRPr="00B32C56">
        <w:rPr>
          <w:rFonts w:eastAsia="Times New Roman"/>
          <w:color w:val="000000"/>
        </w:rPr>
        <w:t xml:space="preserve">ype </w:t>
      </w:r>
      <w:r w:rsidRPr="00B32C56">
        <w:rPr>
          <w:rFonts w:eastAsia="Times New Roman"/>
          <w:color w:val="000000"/>
        </w:rPr>
        <w:t xml:space="preserve">2 ROC curve (AUC) provides a metric of metacognitive performance, varying from 0.5 (chance performance) to 1 (perfect performance).  Chance-level metacognitive sensitivity is denoted by the diagonal line </w:t>
      </w:r>
      <w:r w:rsidR="00BE04D0">
        <w:rPr>
          <w:rFonts w:eastAsia="Times New Roman"/>
          <w:color w:val="000000"/>
        </w:rPr>
        <w:t>t</w:t>
      </w:r>
      <w:r w:rsidR="00BE04D0" w:rsidRPr="00B32C56">
        <w:rPr>
          <w:rFonts w:eastAsia="Times New Roman"/>
          <w:color w:val="000000"/>
        </w:rPr>
        <w:t xml:space="preserve">ype </w:t>
      </w:r>
      <w:r w:rsidRPr="00B32C56">
        <w:rPr>
          <w:rFonts w:eastAsia="Times New Roman"/>
          <w:color w:val="000000"/>
        </w:rPr>
        <w:t xml:space="preserve">2 HR = </w:t>
      </w:r>
      <w:r w:rsidR="00BE04D0">
        <w:rPr>
          <w:rFonts w:eastAsia="Times New Roman"/>
          <w:color w:val="000000"/>
        </w:rPr>
        <w:t>t</w:t>
      </w:r>
      <w:r w:rsidR="00BE04D0" w:rsidRPr="00B32C56">
        <w:rPr>
          <w:rFonts w:eastAsia="Times New Roman"/>
          <w:color w:val="000000"/>
        </w:rPr>
        <w:t xml:space="preserve">ype </w:t>
      </w:r>
      <w:r w:rsidRPr="00B32C56">
        <w:rPr>
          <w:rFonts w:eastAsia="Times New Roman"/>
          <w:color w:val="000000"/>
        </w:rPr>
        <w:t xml:space="preserve">2 FAR, i.e. the region of the ROC plot where high confidence responses are equally likely regardless of correct versus incorrect stimulus discrimination.  This corresponds to an AUC = .5.  In contrast, if an observer rates high confidence only for correct responses, and low confidence for incorrect ones, she will show 100% </w:t>
      </w:r>
      <w:r w:rsidR="00BE04D0">
        <w:rPr>
          <w:rFonts w:eastAsia="Times New Roman"/>
          <w:color w:val="000000"/>
        </w:rPr>
        <w:t>t</w:t>
      </w:r>
      <w:r w:rsidR="00BE04D0" w:rsidRPr="00B32C56">
        <w:rPr>
          <w:rFonts w:eastAsia="Times New Roman"/>
          <w:color w:val="000000"/>
        </w:rPr>
        <w:t xml:space="preserve">ype </w:t>
      </w:r>
      <w:r w:rsidRPr="00B32C56">
        <w:rPr>
          <w:rFonts w:eastAsia="Times New Roman"/>
          <w:color w:val="000000"/>
        </w:rPr>
        <w:t xml:space="preserve">2 </w:t>
      </w:r>
      <w:r w:rsidR="00BE04D0">
        <w:rPr>
          <w:rFonts w:eastAsia="Times New Roman"/>
          <w:color w:val="000000"/>
        </w:rPr>
        <w:t>HR</w:t>
      </w:r>
      <w:r w:rsidRPr="00B32C56">
        <w:rPr>
          <w:rFonts w:eastAsia="Times New Roman"/>
          <w:color w:val="000000"/>
        </w:rPr>
        <w:t xml:space="preserve"> at 0% </w:t>
      </w:r>
      <w:r w:rsidR="00BE04D0">
        <w:rPr>
          <w:rFonts w:eastAsia="Times New Roman"/>
          <w:color w:val="000000"/>
        </w:rPr>
        <w:t>t</w:t>
      </w:r>
      <w:r w:rsidRPr="00B32C56">
        <w:rPr>
          <w:rFonts w:eastAsia="Times New Roman"/>
          <w:color w:val="000000"/>
        </w:rPr>
        <w:t xml:space="preserve">ype 2 </w:t>
      </w:r>
      <w:r w:rsidR="00BE04D0">
        <w:rPr>
          <w:rFonts w:eastAsia="Times New Roman"/>
          <w:color w:val="000000"/>
        </w:rPr>
        <w:t>FAR</w:t>
      </w:r>
      <w:r w:rsidRPr="00B32C56">
        <w:rPr>
          <w:rFonts w:eastAsia="Times New Roman"/>
          <w:color w:val="000000"/>
        </w:rPr>
        <w:t xml:space="preserve">, meaning that AUC = 1.  As S2 stimulus strength increases, AUC for “S1” responses progressively decreases under the Response-Congruent Evidence decision rule, whereas AUC for “S2” responses increases. </w:t>
      </w:r>
    </w:p>
    <w:p w14:paraId="4823B12F" w14:textId="77777777" w:rsidR="00B30DEC" w:rsidRPr="00B32C56" w:rsidRDefault="005F5ED2" w:rsidP="00B30DEC">
      <w:pPr>
        <w:spacing w:after="0" w:line="480" w:lineRule="auto"/>
        <w:jc w:val="center"/>
        <w:rPr>
          <w:rFonts w:eastAsia="Times New Roman"/>
        </w:rPr>
      </w:pPr>
      <w:r>
        <w:rPr>
          <w:rFonts w:eastAsia="Times New Roman"/>
          <w:noProof/>
        </w:rPr>
        <w:lastRenderedPageBreak/>
        <w:drawing>
          <wp:inline distT="0" distB="0" distL="0" distR="0" wp14:anchorId="579D8DCE" wp14:editId="5255E995">
            <wp:extent cx="5930900" cy="5715000"/>
            <wp:effectExtent l="0" t="0" r="12700" b="0"/>
            <wp:docPr id="2" name="Picture 6" descr="Description: C:\Users\maniscalcobs\Desktop\lab\publications\ongoing\old lab\active\PE\APP submission 1\figures\fig S2\fig 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maniscalcobs\Desktop\lab\publications\ongoing\old lab\active\PE\APP submission 1\figures\fig S2\fig S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0900" cy="5715000"/>
                    </a:xfrm>
                    <a:prstGeom prst="rect">
                      <a:avLst/>
                    </a:prstGeom>
                    <a:noFill/>
                    <a:ln>
                      <a:noFill/>
                    </a:ln>
                  </pic:spPr>
                </pic:pic>
              </a:graphicData>
            </a:graphic>
          </wp:inline>
        </w:drawing>
      </w:r>
    </w:p>
    <w:p w14:paraId="1C5140C0" w14:textId="509FBDD9" w:rsidR="00B30DEC" w:rsidRPr="00B32C56" w:rsidRDefault="00B30DEC" w:rsidP="00B30DEC">
      <w:pPr>
        <w:spacing w:after="0" w:line="480" w:lineRule="auto"/>
        <w:rPr>
          <w:rFonts w:eastAsia="Times New Roman"/>
        </w:rPr>
      </w:pPr>
      <w:r w:rsidRPr="00B32C56">
        <w:rPr>
          <w:rFonts w:eastAsia="Times New Roman" w:cs="Arial"/>
          <w:b/>
          <w:bCs/>
          <w:color w:val="000000"/>
        </w:rPr>
        <w:t>Figure S2.</w:t>
      </w:r>
      <w:r w:rsidRPr="00B32C56">
        <w:rPr>
          <w:rFonts w:eastAsia="Times New Roman" w:cs="Arial"/>
          <w:color w:val="000000"/>
        </w:rPr>
        <w:t xml:space="preserve"> Simulated values for response-specific type 2 ROC curves as a function of S2 stimulus strength. As S2 stimulus strength increases, the </w:t>
      </w:r>
      <w:r w:rsidR="00CE6DEF">
        <w:rPr>
          <w:rFonts w:eastAsia="Times New Roman" w:cs="Arial"/>
          <w:color w:val="000000"/>
        </w:rPr>
        <w:t xml:space="preserve">Balance of Evidence </w:t>
      </w:r>
      <w:r w:rsidRPr="00B32C56">
        <w:rPr>
          <w:rFonts w:eastAsia="Times New Roman" w:cs="Arial"/>
          <w:color w:val="000000"/>
        </w:rPr>
        <w:t>rule</w:t>
      </w:r>
      <w:r w:rsidR="00CE6DEF">
        <w:rPr>
          <w:rFonts w:eastAsia="Times New Roman" w:cs="Arial"/>
          <w:color w:val="000000"/>
        </w:rPr>
        <w:t xml:space="preserve"> (BE)</w:t>
      </w:r>
      <w:r w:rsidRPr="00B32C56">
        <w:rPr>
          <w:rFonts w:eastAsia="Times New Roman" w:cs="Arial"/>
          <w:color w:val="000000"/>
        </w:rPr>
        <w:t xml:space="preserve"> predicts that area under the type 2 ROC curve (a measure of metacognitive performance) should increase for both “S1” and “S2” responses. By contrast, the </w:t>
      </w:r>
      <w:r w:rsidR="00CE6DEF">
        <w:rPr>
          <w:rFonts w:eastAsia="Times New Roman" w:cs="Arial"/>
          <w:color w:val="000000"/>
        </w:rPr>
        <w:t>Response-</w:t>
      </w:r>
      <w:proofErr w:type="gramStart"/>
      <w:r w:rsidR="00CE6DEF">
        <w:rPr>
          <w:rFonts w:eastAsia="Times New Roman" w:cs="Arial"/>
          <w:color w:val="000000"/>
        </w:rPr>
        <w:t xml:space="preserve">Congruent </w:t>
      </w:r>
      <w:r w:rsidRPr="00B32C56">
        <w:rPr>
          <w:rFonts w:eastAsia="Times New Roman" w:cs="Arial"/>
          <w:color w:val="000000"/>
        </w:rPr>
        <w:t xml:space="preserve"> </w:t>
      </w:r>
      <w:r w:rsidR="00CE6DEF">
        <w:rPr>
          <w:rFonts w:eastAsia="Times New Roman" w:cs="Arial"/>
          <w:color w:val="000000"/>
        </w:rPr>
        <w:t>Evidence</w:t>
      </w:r>
      <w:proofErr w:type="gramEnd"/>
      <w:r w:rsidRPr="00B32C56">
        <w:rPr>
          <w:rFonts w:eastAsia="Times New Roman" w:cs="Arial"/>
          <w:color w:val="000000"/>
        </w:rPr>
        <w:t xml:space="preserve"> rule</w:t>
      </w:r>
      <w:r w:rsidR="00CE6DEF">
        <w:rPr>
          <w:rFonts w:eastAsia="Times New Roman" w:cs="Arial"/>
          <w:color w:val="000000"/>
        </w:rPr>
        <w:t xml:space="preserve"> (RCE)</w:t>
      </w:r>
      <w:r w:rsidRPr="00B32C56">
        <w:rPr>
          <w:rFonts w:eastAsia="Times New Roman" w:cs="Arial"/>
          <w:color w:val="000000"/>
        </w:rPr>
        <w:t xml:space="preserve"> predicts that area under the type 2 ROC curve for “S2” responses should increase whereas the area for “S1” responses should decrease. This demonstrates that the idiosyncratic patterns of confidence rating predicted by the </w:t>
      </w:r>
      <w:r w:rsidR="00BE04D0">
        <w:rPr>
          <w:rFonts w:eastAsia="Times New Roman" w:cs="Arial"/>
          <w:color w:val="000000"/>
        </w:rPr>
        <w:t>RCE</w:t>
      </w:r>
      <w:r w:rsidR="00BE04D0" w:rsidRPr="00B32C56">
        <w:rPr>
          <w:rFonts w:eastAsia="Times New Roman" w:cs="Arial"/>
          <w:color w:val="000000"/>
        </w:rPr>
        <w:t xml:space="preserve"> </w:t>
      </w:r>
      <w:r w:rsidRPr="00B32C56">
        <w:rPr>
          <w:rFonts w:eastAsia="Times New Roman" w:cs="Arial"/>
          <w:color w:val="000000"/>
        </w:rPr>
        <w:t>model are not attributable to response bias, but rather manifest as differences in metacognitive sensitivity.</w:t>
      </w:r>
    </w:p>
    <w:p w14:paraId="742DD612" w14:textId="3BD314C0" w:rsidR="00B30DEC" w:rsidRPr="00B32C56" w:rsidRDefault="00B30DEC" w:rsidP="00D90B1C">
      <w:pPr>
        <w:spacing w:after="0" w:line="480" w:lineRule="auto"/>
        <w:ind w:firstLine="720"/>
        <w:rPr>
          <w:rFonts w:eastAsia="Times New Roman"/>
        </w:rPr>
      </w:pPr>
      <w:r w:rsidRPr="00B32C56">
        <w:rPr>
          <w:rFonts w:eastAsia="Times New Roman"/>
          <w:color w:val="000000"/>
        </w:rPr>
        <w:lastRenderedPageBreak/>
        <w:t xml:space="preserve">A limitation of this approach is that AUC for the </w:t>
      </w:r>
      <w:r w:rsidR="00BE04D0">
        <w:rPr>
          <w:rFonts w:eastAsia="Times New Roman"/>
          <w:color w:val="000000"/>
        </w:rPr>
        <w:t>t</w:t>
      </w:r>
      <w:r w:rsidR="00BE04D0" w:rsidRPr="00B32C56">
        <w:rPr>
          <w:rFonts w:eastAsia="Times New Roman"/>
          <w:color w:val="000000"/>
        </w:rPr>
        <w:t xml:space="preserve">ype </w:t>
      </w:r>
      <w:r w:rsidRPr="00B32C56">
        <w:rPr>
          <w:rFonts w:eastAsia="Times New Roman"/>
          <w:color w:val="000000"/>
        </w:rPr>
        <w:t xml:space="preserve">2 ROC depends on d’ </w:t>
      </w:r>
      <w:r w:rsidR="00674F51">
        <w:rPr>
          <w:rFonts w:eastAsia="Times New Roman"/>
          <w:color w:val="000000"/>
        </w:rPr>
        <w:fldChar w:fldCharType="begin" w:fldLock="1"/>
      </w:r>
      <w:r w:rsidR="00674F51">
        <w:rPr>
          <w:rFonts w:eastAsia="Times New Roman"/>
          <w:color w:val="000000"/>
        </w:rPr>
        <w:instrText>ADDIN CSL_CITATION { "citationItems" : [ { "id" : "ITEM-1", "itemData" : { "DOI" : "10.3758/BF03196546", "ISBN" : "1069-9384 (Print)\\r1069-9384 (Linking)", "ISSN" : "1069-9384", "PMID" : "15000533", "abstract" : "It has been known for over 40 years that there are two fundamentally different kinds of detection tasks in the theory of signal detectability. The Type 1 task is to distinguish between events defined independently of the observer; the Type 2 task is to distinguish between one's own correct and incorrect decisions about those Type 1 events. For the Type 1 task, the behavior of the detector can be summarized by the traditional receiver operating characteristic (ROC) curve. This curve can be compared with a theoretical ROC curve, which can be generated from overlapping probability functions conditional on the Type 1 events on an appropriate decision axis. We show how to derive the probability functions underlying Type 2 decisions from those for the Type 1 task. ROC curves and the usual measures of performance are readily obtained from those Type 2 functions, and some relationships among various Type 1 and Type 2 performance measures are presented. We discuss the relationship between Type 1 and Type 2 confidence ratings and caution against the practice of presenting transformed Type 2 ratings as empirical Type 1 ratings.", "author" : [ { "dropping-particle" : "", "family" : "Galvin", "given" : "Susan J", "non-dropping-particle" : "", "parse-names" : false, "suffix" : "" }, { "dropping-particle" : "V", "family" : "Podd", "given" : "John", "non-dropping-particle" : "", "parse-names" : false, "suffix" : "" }, { "dropping-particle" : "", "family" : "Drga", "given" : "Vit", "non-dropping-particle" : "", "parse-names" : false, "suffix" : "" }, { "dropping-particle" : "", "family" : "Whitmore", "given" : "John", "non-dropping-particle" : "", "parse-names" : false, "suffix" : "" } ], "container-title" : "Psychonomic bulletin &amp; review", "id" : "ITEM-1", "issue" : "4", "issued" : { "date-parts" : [ [ "2003", "12", "1" ] ] }, "page" : "843-876", "publisher" : "Springer", "title" : "Type 2 tasks in the theory of signal detectability: discrimination between correct and incorrect decisions.", "type" : "article-journal", "volume" : "10" }, "uris" : [ "http://www.mendeley.com/documents/?uuid=e5c8e799-218e-4539-b011-bf12202ac7ce" ] }, { "id" : "ITEM-2", "itemData" : { "abstract" : "Consciousness and Cognition, 21 (2012) 422-430. doi:10.1016/j.concog.2011.09.021", "author" : [ { "dropping-particle" : "", "family" : "Maniscalco", "given" : "Brian", "non-dropping-particle" : "", "parse-names" : false, "suffix" : "" }, { "dropping-particle" : "", "family" : "Lau", "given" : "Hakwan", "non-dropping-particle" : "", "parse-names" : false, "suffix" : "" } ], "container-title" : "Consciousness and Cognition", "id" : "ITEM-2", "issue" : "1", "issued" : { "date-parts" : [ [ "2012" ] ] }, "page" : "422-430", "publisher" : "Elsevier Inc.", "title" : "A signal detection theoretic approach for estimating metacognitive sensitivity from confidence ratings", "type" : "article-journal", "volume" : "21" }, "uris" : [ "http://www.mendeley.com/documents/?uuid=07138a34-7aa0-455c-a8d7-ab964238a947" ] } ], "mendeley" : { "formattedCitation" : "(Galvin, Podd, Drga, &amp; Whitmore, 2003; Maniscalco &amp; Lau, 2012)", "plainTextFormattedCitation" : "(Galvin, Podd, Drga, &amp; Whitmore, 2003; Maniscalco &amp; Lau, 2012)", "previouslyFormattedCitation" : "(Galvin, Podd, Drga, &amp; Whitmore, 2003; Maniscalco &amp; Lau, 2012)" }, "properties" : { "noteIndex" : 0 }, "schema" : "https://github.com/citation-style-language/schema/raw/master/csl-citation.json" }</w:instrText>
      </w:r>
      <w:r w:rsidR="00674F51">
        <w:rPr>
          <w:rFonts w:eastAsia="Times New Roman"/>
          <w:color w:val="000000"/>
        </w:rPr>
        <w:fldChar w:fldCharType="separate"/>
      </w:r>
      <w:r w:rsidR="00674F51" w:rsidRPr="00674F51">
        <w:rPr>
          <w:rFonts w:eastAsia="Times New Roman"/>
          <w:noProof/>
          <w:color w:val="000000"/>
        </w:rPr>
        <w:t>(Galvin, Podd, Drga, &amp; Whitmore, 2003; Maniscalco &amp; Lau, 2012)</w:t>
      </w:r>
      <w:r w:rsidR="00674F51">
        <w:rPr>
          <w:rFonts w:eastAsia="Times New Roman"/>
          <w:color w:val="000000"/>
        </w:rPr>
        <w:fldChar w:fldCharType="end"/>
      </w:r>
      <w:r w:rsidRPr="00B32C56">
        <w:rPr>
          <w:rFonts w:eastAsia="Times New Roman"/>
          <w:color w:val="000000"/>
        </w:rPr>
        <w:t>, and so the exact relationship between task performance and metacognition remains somewhat obscure.  </w:t>
      </w:r>
      <w:proofErr w:type="gramStart"/>
      <w:r w:rsidRPr="00B32C56">
        <w:rPr>
          <w:rFonts w:eastAsia="Times New Roman"/>
          <w:color w:val="000000"/>
        </w:rPr>
        <w:t xml:space="preserve">So, in </w:t>
      </w:r>
      <w:r w:rsidR="00BE04D0">
        <w:rPr>
          <w:rFonts w:eastAsia="Times New Roman"/>
          <w:color w:val="000000"/>
        </w:rPr>
        <w:t>Figs.</w:t>
      </w:r>
      <w:r w:rsidR="00BE04D0" w:rsidRPr="00B32C56">
        <w:rPr>
          <w:rFonts w:eastAsia="Times New Roman"/>
          <w:color w:val="000000"/>
        </w:rPr>
        <w:t xml:space="preserve"> </w:t>
      </w:r>
      <w:r w:rsidR="00BE04D0">
        <w:rPr>
          <w:rFonts w:eastAsia="Times New Roman"/>
          <w:color w:val="000000"/>
        </w:rPr>
        <w:t>4 – 7</w:t>
      </w:r>
      <w:r w:rsidRPr="00B32C56">
        <w:rPr>
          <w:rFonts w:eastAsia="Times New Roman"/>
          <w:color w:val="000000"/>
        </w:rPr>
        <w:t xml:space="preserve"> (main text) we rely on plotting meta-d’ as a function of d’.</w:t>
      </w:r>
      <w:proofErr w:type="gramEnd"/>
      <w:r w:rsidRPr="00B32C56">
        <w:rPr>
          <w:rFonts w:eastAsia="Times New Roman"/>
          <w:color w:val="000000"/>
        </w:rPr>
        <w:t xml:space="preserve">  Meta-d’ measures metacognitive sensitivity such that, if confidence ratings follow their expected patterns under SDT, meta-d’ = d’ </w:t>
      </w:r>
      <w:r w:rsidR="00674F51">
        <w:rPr>
          <w:rFonts w:eastAsia="Times New Roman"/>
          <w:color w:val="000000"/>
        </w:rPr>
        <w:fldChar w:fldCharType="begin" w:fldLock="1"/>
      </w:r>
      <w:r w:rsidR="005171BF">
        <w:rPr>
          <w:rFonts w:eastAsia="Times New Roman"/>
          <w:color w:val="000000"/>
        </w:rPr>
        <w:instrText>ADDIN CSL_CITATION { "citationItems" : [ { "id" : "ITEM-1", "itemData" : { "abstract" : "Consciousness and Cognition, 21 (2012) 422-430. doi:10.1016/j.concog.2011.09.021", "author" : [ { "dropping-particle" : "", "family" : "Maniscalco", "given" : "Brian", "non-dropping-particle" : "", "parse-names" : false, "suffix" : "" }, { "dropping-particle" : "", "family" : "Lau", "given" : "Hakwan", "non-dropping-particle" : "", "parse-names" : false, "suffix" : "" } ], "container-title" : "Consciousness and Cognition", "id" : "ITEM-1", "issue" : "1", "issued" : { "date-parts" : [ [ "2012" ] ] }, "page" : "422-430", "publisher" : "Elsevier Inc.", "title" : "A signal detection theoretic approach for estimating metacognitive sensitivity from confidence ratings", "type" : "article-journal", "volume" : "21" }, "uris" : [ "http://www.mendeley.com/documents/?uuid=07138a34-7aa0-455c-a8d7-ab964238a947" ] } ], "mendeley" : { "formattedCitation" : "(Maniscalco &amp; Lau, 2012)", "plainTextFormattedCitation" : "(Maniscalco &amp; Lau, 2012)", "previouslyFormattedCitation" : "(Maniscalco &amp; Lau, 2012)" }, "properties" : { "noteIndex" : 0 }, "schema" : "https://github.com/citation-style-language/schema/raw/master/csl-citation.json" }</w:instrText>
      </w:r>
      <w:r w:rsidR="00674F51">
        <w:rPr>
          <w:rFonts w:eastAsia="Times New Roman"/>
          <w:color w:val="000000"/>
        </w:rPr>
        <w:fldChar w:fldCharType="separate"/>
      </w:r>
      <w:r w:rsidR="00674F51" w:rsidRPr="00674F51">
        <w:rPr>
          <w:rFonts w:eastAsia="Times New Roman"/>
          <w:noProof/>
          <w:color w:val="000000"/>
        </w:rPr>
        <w:t>(Maniscalco &amp; Lau, 2012)</w:t>
      </w:r>
      <w:r w:rsidR="00674F51">
        <w:rPr>
          <w:rFonts w:eastAsia="Times New Roman"/>
          <w:color w:val="000000"/>
        </w:rPr>
        <w:fldChar w:fldCharType="end"/>
      </w:r>
      <w:r w:rsidRPr="00B32C56">
        <w:rPr>
          <w:rFonts w:eastAsia="Times New Roman"/>
          <w:color w:val="000000"/>
        </w:rPr>
        <w:t>. This visualization confirms the above analyses: meta-d’ for “S1” and “S2” responses exhibit a distinct linear cross-over pattern under the Response-Congruent Evidence rule. For most values of d’, meta-d’ for “S1” and “S2” responses also underperforms SDT expectation under the Response-Congruent Evidence rule. Conversely, under the Balance of Evidence rule, meta-d’ tracks d’ faithfully, in accordance with SDT expectation.  These predicted behavioral patterns held despite variations on simulation implementation.</w:t>
      </w:r>
    </w:p>
    <w:p w14:paraId="1D7A65F4" w14:textId="77777777" w:rsidR="00B30DEC" w:rsidRDefault="00B30DEC" w:rsidP="00B30DEC">
      <w:pPr>
        <w:spacing w:after="0" w:line="480" w:lineRule="auto"/>
        <w:rPr>
          <w:rFonts w:eastAsia="Times New Roman"/>
        </w:rPr>
      </w:pPr>
    </w:p>
    <w:p w14:paraId="7BA60D64" w14:textId="77777777" w:rsidR="003D76FB" w:rsidRDefault="003D76FB" w:rsidP="00B30DEC">
      <w:pPr>
        <w:spacing w:after="0" w:line="480" w:lineRule="auto"/>
        <w:rPr>
          <w:rFonts w:eastAsia="Times New Roman"/>
        </w:rPr>
      </w:pPr>
      <w:r>
        <w:rPr>
          <w:rFonts w:eastAsia="Times New Roman"/>
          <w:i/>
        </w:rPr>
        <w:t>Diffusion model simulation</w:t>
      </w:r>
    </w:p>
    <w:p w14:paraId="13402510" w14:textId="77777777" w:rsidR="00271558" w:rsidRDefault="003D76FB" w:rsidP="00271558">
      <w:pPr>
        <w:spacing w:after="0" w:line="480" w:lineRule="auto"/>
        <w:rPr>
          <w:rFonts w:eastAsia="Times New Roman"/>
        </w:rPr>
      </w:pPr>
      <w:r>
        <w:rPr>
          <w:rFonts w:eastAsia="Times New Roman"/>
        </w:rPr>
        <w:tab/>
      </w:r>
      <w:r w:rsidR="002E5A51">
        <w:rPr>
          <w:rFonts w:eastAsia="Times New Roman"/>
        </w:rPr>
        <w:t xml:space="preserve">Is it possible that the dissociation between task performance and metacognition observed in Experiment 1 (Fig. 4B) could be accounted for by a simple drift diffusion model (Ratcliff, 1978) that posits that confidence ratings are inversely related to reaction time on the discrimination task? Here we consider this possibility. </w:t>
      </w:r>
      <w:r w:rsidR="006E6AF6">
        <w:rPr>
          <w:rFonts w:eastAsia="Times New Roman"/>
        </w:rPr>
        <w:t xml:space="preserve">Note that we are not interested here in evaluating the ability of the diffusion model to capture other aspects of the data besides the performance/metacognition dissociation, and also note that we are only aiming to evaluate a very basic kind of diffusion model that posits that confidence ratings and reaction times are inversely related. </w:t>
      </w:r>
      <w:r w:rsidR="00271558" w:rsidRPr="00271558">
        <w:rPr>
          <w:rFonts w:eastAsia="Times New Roman"/>
        </w:rPr>
        <w:t>Thus, we make no claims about how well the diffusion model captures more general features of this data set aside from the dissociation, and we also make no claims about diffusion models (or other models of the dynamics of perceptual decision making) that allow for confidence to vary independently from reaction time.</w:t>
      </w:r>
    </w:p>
    <w:p w14:paraId="2C5CA7AC" w14:textId="1EDA8CFD" w:rsidR="0073107D" w:rsidRDefault="00844BE5" w:rsidP="00271558">
      <w:pPr>
        <w:spacing w:after="0" w:line="480" w:lineRule="auto"/>
        <w:ind w:firstLine="720"/>
        <w:rPr>
          <w:rFonts w:eastAsia="Times New Roman"/>
        </w:rPr>
      </w:pPr>
      <w:r>
        <w:rPr>
          <w:rFonts w:eastAsia="Times New Roman"/>
        </w:rPr>
        <w:t xml:space="preserve">The </w:t>
      </w:r>
      <w:r w:rsidR="0038303A">
        <w:rPr>
          <w:rFonts w:eastAsia="Times New Roman"/>
        </w:rPr>
        <w:t>Response</w:t>
      </w:r>
      <w:r w:rsidR="002E5A51">
        <w:rPr>
          <w:rFonts w:eastAsia="Times New Roman"/>
        </w:rPr>
        <w:t>-</w:t>
      </w:r>
      <w:proofErr w:type="gramStart"/>
      <w:r w:rsidR="0038303A">
        <w:rPr>
          <w:rFonts w:eastAsia="Times New Roman"/>
        </w:rPr>
        <w:t>Congruent  Evidence</w:t>
      </w:r>
      <w:proofErr w:type="gramEnd"/>
      <w:r>
        <w:rPr>
          <w:rFonts w:eastAsia="Times New Roman"/>
        </w:rPr>
        <w:t xml:space="preserve"> rule predicts a dissociation between task performance and metacognitive sensitivity because, as S2 stimulus strength increases, task performance (d’) increases </w:t>
      </w:r>
      <w:r>
        <w:rPr>
          <w:rFonts w:eastAsia="Times New Roman"/>
        </w:rPr>
        <w:lastRenderedPageBreak/>
        <w:t>even as confidence for errors on S2 trials increases (Figs. 2</w:t>
      </w:r>
      <w:r w:rsidR="0038303A">
        <w:rPr>
          <w:rFonts w:eastAsia="Times New Roman"/>
        </w:rPr>
        <w:t xml:space="preserve"> – 4</w:t>
      </w:r>
      <w:r>
        <w:rPr>
          <w:rFonts w:eastAsia="Times New Roman"/>
        </w:rPr>
        <w:t>, S1). Yet, as S2 stimulus strength increases and S2 stimuli become easier to distinguish from S1 stimuli, we might expect that reaction time</w:t>
      </w:r>
      <w:r w:rsidR="0073107D">
        <w:rPr>
          <w:rFonts w:eastAsia="Times New Roman"/>
        </w:rPr>
        <w:t xml:space="preserve"> for S2 stimuli also decreases—a commonly observed inverse relationship between task performance and reaction time that is captured by drift diffusion models </w:t>
      </w:r>
      <w:r w:rsidR="003F52F4">
        <w:rPr>
          <w:rFonts w:eastAsia="Times New Roman"/>
        </w:rPr>
        <w:fldChar w:fldCharType="begin" w:fldLock="1"/>
      </w:r>
      <w:r w:rsidR="00B42A29">
        <w:rPr>
          <w:rFonts w:eastAsia="Times New Roman"/>
        </w:rPr>
        <w:instrText>ADDIN CSL_CITATION { "citationItems" : [ { "id" : "ITEM-1", "itemData" : { "DOI" : "10.1037/a0019737", "ISSN" : "1939-1471", "PMID" : "20658856", "abstract" : "The 3 most often-used performance measures in the cognitive and decision sciences are choice, response or decision time, and confidence. We develop a random walk/diffusion theory-2-stage dynamic signal detection (2DSD) theory-that accounts for all 3 measures using a common underlying process. The model uses a drift diffusion process to account for choice and decision time. To estimate confidence, we assume that evidence continues to accumulate after the choice. Judges then interrupt the process to categorize the accumulated evidence into a confidence rating. The model explains all known interrelationships between the 3 indices of performance. Furthermore, the model also accounts for the distributions of each variable in both a perceptual and general knowledge task. The dynamic nature of the model also reveals the moderating effects of time pressure on the accuracy of choice and confidence. Finally, the model specifies the optimal solution for giving the fastest choice and confidence rating for a given level of choice and confidence accuracy. Judges are found to act in a manner consistent with the optimal solution when making confidence judgments.", "author" : [ { "dropping-particle" : "", "family" : "Pleskac", "given" : "Timothy J", "non-dropping-particle" : "", "parse-names" : false, "suffix" : "" }, { "dropping-particle" : "", "family" : "Busemeyer", "given" : "Jerome R", "non-dropping-particle" : "", "parse-names" : false, "suffix" : "" } ], "container-title" : "Psychological review", "id" : "ITEM-1", "issue" : "3", "issued" : { "date-parts" : [ [ "2010", "7", "1" ] ] }, "note" : "From Duplicate 2 ( \n\n\nTwo-stage dynamic signal detection: a theory of choice, decision time, and confidence.\n\n\n- Pleskac, Timothy J; Busemeyer, Jerome R )\n\n", "page" : "864-901", "publisher" : "The Macmillan Company", "title" : "Two-stage dynamic signal detection: a theory of choice, decision time, and confidence.", "type" : "article-journal", "volume" : "117" }, "uris" : [ "http://www.mendeley.com/documents/?uuid=0e9140f8-6ef7-443f-9a2f-3dee3e996739" ] } ], "mendeley" : { "formattedCitation" : "(Pleskac &amp; Busemeyer, 2010)", "plainTextFormattedCitation" : "(Pleskac &amp; Busemeyer, 2010)", "previouslyFormattedCitation" : "(Pleskac &amp; Busemeyer, 2010)" }, "properties" : { "noteIndex" : 0 }, "schema" : "https://github.com/citation-style-language/schema/raw/master/csl-citation.json" }</w:instrText>
      </w:r>
      <w:r w:rsidR="003F52F4">
        <w:rPr>
          <w:rFonts w:eastAsia="Times New Roman"/>
        </w:rPr>
        <w:fldChar w:fldCharType="separate"/>
      </w:r>
      <w:r w:rsidR="003F52F4" w:rsidRPr="003F52F4">
        <w:rPr>
          <w:rFonts w:eastAsia="Times New Roman"/>
          <w:noProof/>
        </w:rPr>
        <w:t>(Pleskac &amp; Busemeyer, 2010)</w:t>
      </w:r>
      <w:r w:rsidR="003F52F4">
        <w:rPr>
          <w:rFonts w:eastAsia="Times New Roman"/>
        </w:rPr>
        <w:fldChar w:fldCharType="end"/>
      </w:r>
      <w:r w:rsidR="0073107D">
        <w:rPr>
          <w:rFonts w:eastAsia="Times New Roman"/>
        </w:rPr>
        <w:t>. In turn, if subjects base confidence on reaction time, then we might expect that a simple drift diffusion model would be sufficient to account for the empirically observed dissociation between task performance and metacognition (Fig. 4B).</w:t>
      </w:r>
    </w:p>
    <w:p w14:paraId="79992C26" w14:textId="64A93E34" w:rsidR="00CC53C6" w:rsidRDefault="0073107D" w:rsidP="00B30DEC">
      <w:pPr>
        <w:spacing w:after="0" w:line="480" w:lineRule="auto"/>
        <w:rPr>
          <w:rFonts w:eastAsia="Times New Roman"/>
        </w:rPr>
      </w:pPr>
      <w:r>
        <w:rPr>
          <w:rFonts w:eastAsia="Times New Roman"/>
        </w:rPr>
        <w:tab/>
      </w:r>
      <w:proofErr w:type="gramStart"/>
      <w:r>
        <w:rPr>
          <w:rFonts w:eastAsia="Times New Roman"/>
        </w:rPr>
        <w:t>In Fig.</w:t>
      </w:r>
      <w:proofErr w:type="gramEnd"/>
      <w:r>
        <w:rPr>
          <w:rFonts w:eastAsia="Times New Roman"/>
        </w:rPr>
        <w:t xml:space="preserve"> S3, we plot mean confidence as a function of response type, accuracy, and S2 stimulus strength for Experiments 1 and 2. </w:t>
      </w:r>
      <w:proofErr w:type="gramStart"/>
      <w:r>
        <w:rPr>
          <w:rFonts w:eastAsia="Times New Roman"/>
        </w:rPr>
        <w:t>In the data for Experiment 1</w:t>
      </w:r>
      <w:r w:rsidR="006B081C">
        <w:rPr>
          <w:rFonts w:eastAsia="Times New Roman"/>
        </w:rPr>
        <w:t xml:space="preserve"> (Fig.</w:t>
      </w:r>
      <w:proofErr w:type="gramEnd"/>
      <w:r w:rsidR="006B081C">
        <w:rPr>
          <w:rFonts w:eastAsia="Times New Roman"/>
        </w:rPr>
        <w:t xml:space="preserve"> S3A)</w:t>
      </w:r>
      <w:r>
        <w:rPr>
          <w:rFonts w:eastAsia="Times New Roman"/>
        </w:rPr>
        <w:t xml:space="preserve">, note that mean confidence for incorrect “S1” responses increases for the two highest levels of S2 stimulus strength. This pattern is congruent with the pattern of </w:t>
      </w:r>
      <w:r w:rsidR="0019361E">
        <w:rPr>
          <w:rFonts w:eastAsia="Times New Roman"/>
        </w:rPr>
        <w:t>mean</w:t>
      </w:r>
      <w:r>
        <w:rPr>
          <w:rFonts w:eastAsia="Times New Roman"/>
        </w:rPr>
        <w:t xml:space="preserve"> confidence predicted by the </w:t>
      </w:r>
      <w:r w:rsidR="0038303A">
        <w:rPr>
          <w:rFonts w:eastAsia="Times New Roman"/>
        </w:rPr>
        <w:t>R</w:t>
      </w:r>
      <w:r>
        <w:rPr>
          <w:rFonts w:eastAsia="Times New Roman"/>
        </w:rPr>
        <w:t>esponse</w:t>
      </w:r>
      <w:r w:rsidR="0038303A">
        <w:rPr>
          <w:rFonts w:eastAsia="Times New Roman"/>
        </w:rPr>
        <w:t>-C</w:t>
      </w:r>
      <w:r>
        <w:rPr>
          <w:rFonts w:eastAsia="Times New Roman"/>
        </w:rPr>
        <w:t>ongruent</w:t>
      </w:r>
      <w:r w:rsidR="0038303A">
        <w:rPr>
          <w:rFonts w:eastAsia="Times New Roman"/>
        </w:rPr>
        <w:t xml:space="preserve"> E</w:t>
      </w:r>
      <w:r>
        <w:rPr>
          <w:rFonts w:eastAsia="Times New Roman"/>
        </w:rPr>
        <w:t xml:space="preserve">vidence model (Fig. S1) </w:t>
      </w:r>
      <w:r w:rsidR="006B081C">
        <w:rPr>
          <w:rFonts w:eastAsia="Times New Roman"/>
        </w:rPr>
        <w:t>and accounts for wh</w:t>
      </w:r>
      <w:r>
        <w:rPr>
          <w:rFonts w:eastAsia="Times New Roman"/>
        </w:rPr>
        <w:t>y meta-d’ for “S1” responses decreases at the two highest levels of S2 stimulus strength (Fig. 4B)</w:t>
      </w:r>
      <w:r w:rsidR="006B081C">
        <w:rPr>
          <w:rFonts w:eastAsia="Times New Roman"/>
        </w:rPr>
        <w:t xml:space="preserve">—average confidence for incorrect “S1” responses increases even as average confidence for correct “S1” responses remains the same, leading to a reduction in area under the type 2 ROC curve for “S1” responses (Fig. </w:t>
      </w:r>
      <w:proofErr w:type="gramStart"/>
      <w:r w:rsidR="006B081C">
        <w:rPr>
          <w:rFonts w:eastAsia="Times New Roman"/>
        </w:rPr>
        <w:t>S2) and thus a decrease in meta-d’ (Fig. 4).</w:t>
      </w:r>
      <w:proofErr w:type="gramEnd"/>
      <w:r w:rsidR="006B081C">
        <w:rPr>
          <w:rFonts w:eastAsia="Times New Roman"/>
        </w:rPr>
        <w:t xml:space="preserve"> </w:t>
      </w:r>
      <w:r w:rsidR="0019361E">
        <w:rPr>
          <w:rFonts w:eastAsia="Times New Roman"/>
        </w:rPr>
        <w:t xml:space="preserve">By contrast, </w:t>
      </w:r>
      <w:r w:rsidR="006B081C">
        <w:rPr>
          <w:rFonts w:eastAsia="Times New Roman"/>
        </w:rPr>
        <w:t xml:space="preserve">an increase in average confidence for incorrect “S1” responses with increasing S2 stimulus strength is not evident in </w:t>
      </w:r>
      <w:r w:rsidR="0019361E">
        <w:rPr>
          <w:rFonts w:eastAsia="Times New Roman"/>
        </w:rPr>
        <w:t>Experiment 2</w:t>
      </w:r>
      <w:r w:rsidR="006B081C">
        <w:rPr>
          <w:rFonts w:eastAsia="Times New Roman"/>
        </w:rPr>
        <w:t xml:space="preserve"> (Fig. S3B)</w:t>
      </w:r>
      <w:r w:rsidR="0019361E">
        <w:rPr>
          <w:rFonts w:eastAsia="Times New Roman"/>
        </w:rPr>
        <w:t xml:space="preserve">, corresponding to the absence of the meta-d’ dissociation in the average taken across all four subjects (Fig. 7). </w:t>
      </w:r>
    </w:p>
    <w:p w14:paraId="043FB6A1" w14:textId="77777777" w:rsidR="00CC53C6" w:rsidRDefault="0019361E" w:rsidP="00CC53C6">
      <w:pPr>
        <w:spacing w:after="0" w:line="480" w:lineRule="auto"/>
        <w:ind w:firstLine="720"/>
        <w:rPr>
          <w:rFonts w:eastAsia="Times New Roman"/>
        </w:rPr>
      </w:pPr>
      <w:r>
        <w:rPr>
          <w:rFonts w:eastAsia="Times New Roman"/>
        </w:rPr>
        <w:t xml:space="preserve">Thus, if the drift diffusion model is to explain the observed meta-d’ dissociation, it must do so by positing that </w:t>
      </w:r>
    </w:p>
    <w:p w14:paraId="1B4DE5AE" w14:textId="77777777" w:rsidR="00CC53C6" w:rsidRDefault="0019361E" w:rsidP="00CC53C6">
      <w:pPr>
        <w:pStyle w:val="ListParagraph"/>
        <w:numPr>
          <w:ilvl w:val="0"/>
          <w:numId w:val="1"/>
        </w:numPr>
        <w:spacing w:after="0" w:line="480" w:lineRule="auto"/>
        <w:rPr>
          <w:rFonts w:eastAsia="Times New Roman"/>
        </w:rPr>
      </w:pPr>
      <w:r w:rsidRPr="00CC53C6">
        <w:rPr>
          <w:rFonts w:eastAsia="Times New Roman"/>
        </w:rPr>
        <w:t>reaction time decreases with increasing S2 stimulus strength for incorrect “S1”</w:t>
      </w:r>
      <w:r w:rsidR="00CC53C6" w:rsidRPr="00CC53C6">
        <w:rPr>
          <w:rFonts w:eastAsia="Times New Roman"/>
        </w:rPr>
        <w:t xml:space="preserve"> responses</w:t>
      </w:r>
      <w:r w:rsidR="00CC53C6">
        <w:rPr>
          <w:rFonts w:eastAsia="Times New Roman"/>
        </w:rPr>
        <w:t>, and</w:t>
      </w:r>
    </w:p>
    <w:p w14:paraId="1670F79D" w14:textId="77777777" w:rsidR="00844BE5" w:rsidRPr="00CC53C6" w:rsidRDefault="0019361E" w:rsidP="00CC53C6">
      <w:pPr>
        <w:pStyle w:val="ListParagraph"/>
        <w:numPr>
          <w:ilvl w:val="0"/>
          <w:numId w:val="1"/>
        </w:numPr>
        <w:spacing w:after="0" w:line="480" w:lineRule="auto"/>
        <w:rPr>
          <w:rFonts w:eastAsia="Times New Roman"/>
        </w:rPr>
      </w:pPr>
      <w:proofErr w:type="gramStart"/>
      <w:r w:rsidRPr="00CC53C6">
        <w:rPr>
          <w:rFonts w:eastAsia="Times New Roman"/>
        </w:rPr>
        <w:t>confidence</w:t>
      </w:r>
      <w:proofErr w:type="gramEnd"/>
      <w:r w:rsidRPr="00CC53C6">
        <w:rPr>
          <w:rFonts w:eastAsia="Times New Roman"/>
        </w:rPr>
        <w:t xml:space="preserve"> is inversely related to reaction time.</w:t>
      </w:r>
    </w:p>
    <w:p w14:paraId="06D80CBE" w14:textId="77777777" w:rsidR="0019361E" w:rsidRDefault="0019361E" w:rsidP="00B30DEC">
      <w:pPr>
        <w:spacing w:after="0" w:line="480" w:lineRule="auto"/>
        <w:rPr>
          <w:rFonts w:eastAsia="Times New Roman"/>
        </w:rPr>
      </w:pPr>
      <w:r>
        <w:rPr>
          <w:rFonts w:eastAsia="Times New Roman"/>
        </w:rPr>
        <w:lastRenderedPageBreak/>
        <w:tab/>
        <w:t xml:space="preserve">To </w:t>
      </w:r>
      <w:r w:rsidR="0009175E">
        <w:rPr>
          <w:rFonts w:eastAsia="Times New Roman"/>
        </w:rPr>
        <w:t xml:space="preserve">test the drift diffusion model account, we conducted a simple simulation. </w:t>
      </w:r>
      <w:r w:rsidR="00B901C9">
        <w:rPr>
          <w:rFonts w:eastAsia="Times New Roman"/>
        </w:rPr>
        <w:t>On each trial of the simulation, two accumulators of evidence in favor of responding “S1” and “S2” were defined as</w:t>
      </w:r>
    </w:p>
    <w:p w14:paraId="296D8C2C" w14:textId="77777777" w:rsidR="00B901C9" w:rsidRDefault="00B901C9" w:rsidP="00B30DEC">
      <w:pPr>
        <w:spacing w:after="0" w:line="480" w:lineRule="auto"/>
        <w:rPr>
          <w:rFonts w:eastAsia="Times New Roman"/>
        </w:rPr>
      </w:pPr>
    </w:p>
    <w:p w14:paraId="6AA741D5" w14:textId="238EE333" w:rsidR="00B901C9" w:rsidRPr="005F5ED2" w:rsidRDefault="00107DC9" w:rsidP="00B30DEC">
      <w:pPr>
        <w:spacing w:after="0" w:line="480" w:lineRule="auto"/>
        <w:rPr>
          <w:rFonts w:eastAsia="Times New Roman"/>
        </w:rPr>
      </w:pPr>
      <m:oMathPara>
        <m:oMath>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S1</m:t>
              </m:r>
            </m:sub>
          </m:sSub>
          <m:d>
            <m:dPr>
              <m:ctrlPr>
                <w:rPr>
                  <w:rFonts w:ascii="Cambria Math" w:eastAsia="Times New Roman" w:hAnsi="Cambria Math"/>
                  <w:i/>
                </w:rPr>
              </m:ctrlPr>
            </m:dPr>
            <m:e>
              <m:r>
                <w:rPr>
                  <w:rFonts w:ascii="Cambria Math" w:eastAsia="Times New Roman" w:hAnsi="Cambria Math"/>
                </w:rPr>
                <m:t>t</m:t>
              </m:r>
            </m:e>
          </m:d>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S1</m:t>
              </m:r>
            </m:sub>
          </m:sSub>
          <m:d>
            <m:dPr>
              <m:ctrlPr>
                <w:rPr>
                  <w:rFonts w:ascii="Cambria Math" w:eastAsia="Times New Roman" w:hAnsi="Cambria Math"/>
                  <w:i/>
                </w:rPr>
              </m:ctrlPr>
            </m:dPr>
            <m:e>
              <m:r>
                <w:rPr>
                  <w:rFonts w:ascii="Cambria Math" w:eastAsia="Times New Roman" w:hAnsi="Cambria Math"/>
                </w:rPr>
                <m:t>t-1</m:t>
              </m:r>
            </m:e>
          </m:d>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dx</m:t>
              </m:r>
            </m:e>
            <m:sub>
              <m:r>
                <w:rPr>
                  <w:rFonts w:ascii="Cambria Math" w:eastAsia="Times New Roman" w:hAnsi="Cambria Math"/>
                </w:rPr>
                <m:t>S1</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η</m:t>
              </m:r>
            </m:e>
            <m:sub>
              <m:r>
                <w:rPr>
                  <w:rFonts w:ascii="Cambria Math" w:eastAsia="Times New Roman" w:hAnsi="Cambria Math"/>
                </w:rPr>
                <m:t>S1</m:t>
              </m:r>
            </m:sub>
          </m:sSub>
          <m:r>
            <w:rPr>
              <w:rFonts w:ascii="Cambria Math" w:eastAsia="Times New Roman" w:hAnsi="Cambria Math"/>
            </w:rPr>
            <m:t>(t)</m:t>
          </m:r>
        </m:oMath>
      </m:oMathPara>
    </w:p>
    <w:p w14:paraId="2D957E05" w14:textId="77777777" w:rsidR="00B901C9" w:rsidRDefault="00B901C9" w:rsidP="00B30DEC">
      <w:pPr>
        <w:spacing w:after="0" w:line="480" w:lineRule="auto"/>
        <w:rPr>
          <w:rFonts w:eastAsia="Times New Roman"/>
        </w:rPr>
      </w:pPr>
    </w:p>
    <w:p w14:paraId="5B104009" w14:textId="0FD8027A" w:rsidR="00844BE5" w:rsidRPr="005F5ED2" w:rsidRDefault="00107DC9" w:rsidP="00B30DEC">
      <w:pPr>
        <w:spacing w:after="0" w:line="480" w:lineRule="auto"/>
        <w:rPr>
          <w:rFonts w:eastAsia="Times New Roman"/>
        </w:rPr>
      </w:pPr>
      <m:oMathPara>
        <m:oMath>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S2</m:t>
              </m:r>
            </m:sub>
          </m:sSub>
          <m:d>
            <m:dPr>
              <m:ctrlPr>
                <w:rPr>
                  <w:rFonts w:ascii="Cambria Math" w:eastAsia="Times New Roman" w:hAnsi="Cambria Math"/>
                  <w:i/>
                </w:rPr>
              </m:ctrlPr>
            </m:dPr>
            <m:e>
              <m:r>
                <w:rPr>
                  <w:rFonts w:ascii="Cambria Math" w:eastAsia="Times New Roman" w:hAnsi="Cambria Math"/>
                </w:rPr>
                <m:t>t</m:t>
              </m:r>
            </m:e>
          </m:d>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S2</m:t>
              </m:r>
            </m:sub>
          </m:sSub>
          <m:d>
            <m:dPr>
              <m:ctrlPr>
                <w:rPr>
                  <w:rFonts w:ascii="Cambria Math" w:eastAsia="Times New Roman" w:hAnsi="Cambria Math"/>
                  <w:i/>
                </w:rPr>
              </m:ctrlPr>
            </m:dPr>
            <m:e>
              <m:r>
                <w:rPr>
                  <w:rFonts w:ascii="Cambria Math" w:eastAsia="Times New Roman" w:hAnsi="Cambria Math"/>
                </w:rPr>
                <m:t>t-1</m:t>
              </m:r>
            </m:e>
          </m:d>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dx</m:t>
              </m:r>
            </m:e>
            <m:sub>
              <m:r>
                <w:rPr>
                  <w:rFonts w:ascii="Cambria Math" w:eastAsia="Times New Roman" w:hAnsi="Cambria Math"/>
                </w:rPr>
                <m:t>S2</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η</m:t>
              </m:r>
            </m:e>
            <m:sub>
              <m:r>
                <w:rPr>
                  <w:rFonts w:ascii="Cambria Math" w:eastAsia="Times New Roman" w:hAnsi="Cambria Math"/>
                </w:rPr>
                <m:t>S2</m:t>
              </m:r>
            </m:sub>
          </m:sSub>
          <m:r>
            <w:rPr>
              <w:rFonts w:ascii="Cambria Math" w:eastAsia="Times New Roman" w:hAnsi="Cambria Math"/>
            </w:rPr>
            <m:t>(t)</m:t>
          </m:r>
        </m:oMath>
      </m:oMathPara>
    </w:p>
    <w:p w14:paraId="19757848" w14:textId="77777777" w:rsidR="00B901C9" w:rsidRDefault="00B901C9" w:rsidP="00B30DEC">
      <w:pPr>
        <w:spacing w:after="0" w:line="480" w:lineRule="auto"/>
        <w:rPr>
          <w:rFonts w:eastAsia="Times New Roman"/>
        </w:rPr>
      </w:pPr>
    </w:p>
    <w:p w14:paraId="4A9421EB" w14:textId="519D5A8A" w:rsidR="00B901C9" w:rsidRDefault="00B901C9" w:rsidP="00B30DEC">
      <w:pPr>
        <w:spacing w:after="0" w:line="480" w:lineRule="auto"/>
        <w:rPr>
          <w:rFonts w:eastAsia="Times New Roman"/>
        </w:rPr>
      </w:pPr>
      <w:r>
        <w:rPr>
          <w:rFonts w:eastAsia="Times New Roman"/>
        </w:rPr>
        <w:t>where x</w:t>
      </w:r>
      <w:r w:rsidRPr="00D41BCC">
        <w:rPr>
          <w:rFonts w:eastAsia="Times New Roman"/>
          <w:vertAlign w:val="subscript"/>
        </w:rPr>
        <w:t>S1</w:t>
      </w:r>
      <w:r>
        <w:rPr>
          <w:rFonts w:eastAsia="Times New Roman"/>
        </w:rPr>
        <w:t>(t) and x</w:t>
      </w:r>
      <w:r w:rsidRPr="00D41BCC">
        <w:rPr>
          <w:rFonts w:eastAsia="Times New Roman"/>
          <w:vertAlign w:val="subscript"/>
        </w:rPr>
        <w:t>S2</w:t>
      </w:r>
      <w:r>
        <w:rPr>
          <w:rFonts w:eastAsia="Times New Roman"/>
        </w:rPr>
        <w:t>(t) are the evidence in favor of responding “S1” or “S2” at time t, dx</w:t>
      </w:r>
      <w:r w:rsidRPr="00D41BCC">
        <w:rPr>
          <w:rFonts w:eastAsia="Times New Roman"/>
          <w:vertAlign w:val="subscript"/>
        </w:rPr>
        <w:t>S1</w:t>
      </w:r>
      <w:r>
        <w:rPr>
          <w:rFonts w:eastAsia="Times New Roman"/>
        </w:rPr>
        <w:t xml:space="preserve"> and dx</w:t>
      </w:r>
      <w:r w:rsidRPr="00D41BCC">
        <w:rPr>
          <w:rFonts w:eastAsia="Times New Roman"/>
          <w:vertAlign w:val="subscript"/>
        </w:rPr>
        <w:t>S2</w:t>
      </w:r>
      <w:r>
        <w:rPr>
          <w:rFonts w:eastAsia="Times New Roman"/>
        </w:rPr>
        <w:t xml:space="preserve"> are the drift rates</w:t>
      </w:r>
      <w:r w:rsidR="00D41BCC">
        <w:rPr>
          <w:rFonts w:eastAsia="Times New Roman"/>
        </w:rPr>
        <w:t xml:space="preserve"> for S1 and S2</w:t>
      </w:r>
      <w:r>
        <w:rPr>
          <w:rFonts w:eastAsia="Times New Roman"/>
        </w:rPr>
        <w:t>, an</w:t>
      </w:r>
      <w:r w:rsidRPr="00B901C9">
        <w:rPr>
          <w:rFonts w:eastAsia="Times New Roman"/>
        </w:rPr>
        <w:t xml:space="preserve">d </w:t>
      </w:r>
      <w:r w:rsidRPr="00B901C9">
        <w:rPr>
          <w:rFonts w:cs="Arial"/>
          <w:color w:val="545454"/>
          <w:shd w:val="clear" w:color="auto" w:fill="FFFFFF"/>
        </w:rPr>
        <w:t>η</w:t>
      </w:r>
      <w:r w:rsidR="0038303A" w:rsidRPr="0038303A">
        <w:rPr>
          <w:rFonts w:cs="Arial"/>
          <w:color w:val="545454"/>
          <w:shd w:val="clear" w:color="auto" w:fill="FFFFFF"/>
          <w:vertAlign w:val="subscript"/>
        </w:rPr>
        <w:t>S1</w:t>
      </w:r>
      <w:r w:rsidR="00D41BCC">
        <w:rPr>
          <w:rFonts w:cs="Arial"/>
          <w:color w:val="545454"/>
          <w:shd w:val="clear" w:color="auto" w:fill="FFFFFF"/>
        </w:rPr>
        <w:t>(t)</w:t>
      </w:r>
      <w:r w:rsidR="0038303A">
        <w:rPr>
          <w:rFonts w:cs="Arial"/>
          <w:color w:val="545454"/>
          <w:shd w:val="clear" w:color="auto" w:fill="FFFFFF"/>
        </w:rPr>
        <w:t xml:space="preserve"> and </w:t>
      </w:r>
      <w:r w:rsidR="0038303A" w:rsidRPr="00B901C9">
        <w:rPr>
          <w:rFonts w:cs="Arial"/>
          <w:color w:val="545454"/>
          <w:shd w:val="clear" w:color="auto" w:fill="FFFFFF"/>
        </w:rPr>
        <w:t>η</w:t>
      </w:r>
      <w:r w:rsidR="0038303A" w:rsidRPr="00A90213">
        <w:rPr>
          <w:rFonts w:cs="Arial"/>
          <w:color w:val="545454"/>
          <w:shd w:val="clear" w:color="auto" w:fill="FFFFFF"/>
          <w:vertAlign w:val="subscript"/>
        </w:rPr>
        <w:t>S</w:t>
      </w:r>
      <w:r w:rsidR="0038303A">
        <w:rPr>
          <w:rFonts w:cs="Arial"/>
          <w:color w:val="545454"/>
          <w:shd w:val="clear" w:color="auto" w:fill="FFFFFF"/>
          <w:vertAlign w:val="subscript"/>
        </w:rPr>
        <w:t>2</w:t>
      </w:r>
      <w:r w:rsidR="0038303A">
        <w:rPr>
          <w:rFonts w:cs="Arial"/>
          <w:color w:val="545454"/>
          <w:shd w:val="clear" w:color="auto" w:fill="FFFFFF"/>
        </w:rPr>
        <w:t>(t)</w:t>
      </w:r>
      <w:r>
        <w:rPr>
          <w:rFonts w:eastAsia="Times New Roman"/>
        </w:rPr>
        <w:t xml:space="preserve"> </w:t>
      </w:r>
      <w:r w:rsidR="0038303A">
        <w:rPr>
          <w:rFonts w:eastAsia="Times New Roman"/>
        </w:rPr>
        <w:t>are independent</w:t>
      </w:r>
      <w:r w:rsidR="00D41BCC">
        <w:rPr>
          <w:rFonts w:eastAsia="Times New Roman"/>
        </w:rPr>
        <w:t xml:space="preserve"> noise term</w:t>
      </w:r>
      <w:r w:rsidR="0038303A">
        <w:rPr>
          <w:rFonts w:eastAsia="Times New Roman"/>
        </w:rPr>
        <w:t>s</w:t>
      </w:r>
      <w:r w:rsidR="00D41BCC">
        <w:rPr>
          <w:rFonts w:eastAsia="Times New Roman"/>
        </w:rPr>
        <w:t xml:space="preserve"> drawn</w:t>
      </w:r>
      <w:r w:rsidR="00C020B6">
        <w:rPr>
          <w:rFonts w:eastAsia="Times New Roman"/>
        </w:rPr>
        <w:t xml:space="preserve"> randomly at each time step t </w:t>
      </w:r>
      <w:r w:rsidR="00D41BCC">
        <w:rPr>
          <w:rFonts w:eastAsia="Times New Roman"/>
        </w:rPr>
        <w:t xml:space="preserve"> from a normal distribution with mean zero. We set </w:t>
      </w:r>
      <w:proofErr w:type="gramStart"/>
      <w:r w:rsidR="00D41BCC">
        <w:rPr>
          <w:rFonts w:eastAsia="Times New Roman"/>
        </w:rPr>
        <w:t>x</w:t>
      </w:r>
      <w:r w:rsidR="00D41BCC" w:rsidRPr="00D41BCC">
        <w:rPr>
          <w:rFonts w:eastAsia="Times New Roman"/>
          <w:vertAlign w:val="subscript"/>
        </w:rPr>
        <w:t>S1</w:t>
      </w:r>
      <w:r w:rsidR="00D41BCC">
        <w:rPr>
          <w:rFonts w:eastAsia="Times New Roman"/>
        </w:rPr>
        <w:t>(</w:t>
      </w:r>
      <w:proofErr w:type="gramEnd"/>
      <w:r w:rsidR="00D41BCC">
        <w:rPr>
          <w:rFonts w:eastAsia="Times New Roman"/>
        </w:rPr>
        <w:t>0) = x</w:t>
      </w:r>
      <w:r w:rsidR="00D41BCC" w:rsidRPr="00D41BCC">
        <w:rPr>
          <w:rFonts w:eastAsia="Times New Roman"/>
          <w:vertAlign w:val="subscript"/>
        </w:rPr>
        <w:t>S2</w:t>
      </w:r>
      <w:r w:rsidR="00D41BCC">
        <w:rPr>
          <w:rFonts w:eastAsia="Times New Roman"/>
        </w:rPr>
        <w:t>(0) = 0 and dx</w:t>
      </w:r>
      <w:r w:rsidR="00D41BCC" w:rsidRPr="00D41BCC">
        <w:rPr>
          <w:rFonts w:eastAsia="Times New Roman"/>
          <w:vertAlign w:val="subscript"/>
        </w:rPr>
        <w:t>S1</w:t>
      </w:r>
      <w:r w:rsidR="00D41BCC">
        <w:rPr>
          <w:rFonts w:eastAsia="Times New Roman"/>
        </w:rPr>
        <w:t xml:space="preserve"> &gt; 0 if the stimulus on the simulated trial was S1 and dx</w:t>
      </w:r>
      <w:r w:rsidR="00D41BCC" w:rsidRPr="00D41BCC">
        <w:rPr>
          <w:rFonts w:eastAsia="Times New Roman"/>
          <w:vertAlign w:val="subscript"/>
        </w:rPr>
        <w:t>S1</w:t>
      </w:r>
      <w:r w:rsidR="00D41BCC">
        <w:rPr>
          <w:rFonts w:eastAsia="Times New Roman"/>
        </w:rPr>
        <w:t xml:space="preserve"> = 0 otherwise (and similarly for dx</w:t>
      </w:r>
      <w:r w:rsidR="00D41BCC" w:rsidRPr="00D41BCC">
        <w:rPr>
          <w:rFonts w:eastAsia="Times New Roman"/>
          <w:vertAlign w:val="subscript"/>
        </w:rPr>
        <w:t>S2</w:t>
      </w:r>
      <w:r w:rsidR="00D41BCC">
        <w:rPr>
          <w:rFonts w:eastAsia="Times New Roman"/>
        </w:rPr>
        <w:t xml:space="preserve">).  </w:t>
      </w:r>
      <w:r w:rsidR="00C020B6">
        <w:rPr>
          <w:rFonts w:eastAsia="Times New Roman"/>
        </w:rPr>
        <w:t>At each time step we evaluated the following decision rule:</w:t>
      </w:r>
    </w:p>
    <w:p w14:paraId="2EC30178" w14:textId="77777777" w:rsidR="007653C7" w:rsidRDefault="007653C7" w:rsidP="00B30DEC">
      <w:pPr>
        <w:spacing w:after="0" w:line="480" w:lineRule="auto"/>
        <w:rPr>
          <w:rFonts w:eastAsia="Times New Roman"/>
        </w:rPr>
      </w:pPr>
    </w:p>
    <w:p w14:paraId="05619906" w14:textId="3152D3D1" w:rsidR="00B901C9" w:rsidRDefault="00AA5E79" w:rsidP="00B30DEC">
      <w:pPr>
        <w:spacing w:after="0" w:line="480" w:lineRule="auto"/>
        <w:rPr>
          <w:rFonts w:eastAsia="Times New Roman"/>
        </w:rPr>
      </w:pPr>
      <m:oMathPara>
        <m:oMath>
          <m:r>
            <w:rPr>
              <w:rFonts w:ascii="Cambria Math" w:eastAsia="Times New Roman" w:hAnsi="Cambria Math"/>
            </w:rPr>
            <m:t>response</m:t>
          </m:r>
          <m:d>
            <m:dPr>
              <m:ctrlPr>
                <w:rPr>
                  <w:rFonts w:ascii="Cambria Math" w:eastAsia="Times New Roman" w:hAnsi="Cambria Math"/>
                  <w:i/>
                </w:rPr>
              </m:ctrlPr>
            </m:dPr>
            <m:e>
              <m:r>
                <w:rPr>
                  <w:rFonts w:ascii="Cambria Math" w:eastAsia="Times New Roman" w:hAnsi="Cambria Math"/>
                </w:rPr>
                <m:t>t</m:t>
              </m:r>
            </m:e>
          </m:d>
          <m:r>
            <w:rPr>
              <w:rFonts w:ascii="Cambria Math" w:eastAsia="Times New Roman" w:hAnsi="Cambria Math"/>
            </w:rPr>
            <m:t>=</m:t>
          </m:r>
          <m:d>
            <m:dPr>
              <m:begChr m:val="{"/>
              <m:endChr m:val=""/>
              <m:ctrlPr>
                <w:rPr>
                  <w:rFonts w:ascii="Cambria Math" w:eastAsia="Times New Roman" w:hAnsi="Cambria Math"/>
                  <w:i/>
                </w:rPr>
              </m:ctrlPr>
            </m:dPr>
            <m:e>
              <m:eqArr>
                <m:eqArrPr>
                  <m:ctrlPr>
                    <w:rPr>
                      <w:rFonts w:ascii="Cambria Math" w:eastAsia="Times New Roman" w:hAnsi="Cambria Math"/>
                      <w:i/>
                    </w:rPr>
                  </m:ctrlPr>
                </m:eqArrPr>
                <m:e>
                  <m:r>
                    <m:rPr>
                      <m:nor/>
                    </m:rPr>
                    <w:rPr>
                      <w:rFonts w:ascii="Cambria Math" w:eastAsia="Times New Roman" w:hAnsi="Cambria Math"/>
                    </w:rPr>
                    <m:t>"S1"</m:t>
                  </m:r>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S2</m:t>
                      </m:r>
                    </m:sub>
                  </m:sSub>
                  <m:d>
                    <m:dPr>
                      <m:ctrlPr>
                        <w:rPr>
                          <w:rFonts w:ascii="Cambria Math" w:eastAsia="Times New Roman" w:hAnsi="Cambria Math"/>
                          <w:i/>
                        </w:rPr>
                      </m:ctrlPr>
                    </m:dPr>
                    <m:e>
                      <m:r>
                        <w:rPr>
                          <w:rFonts w:ascii="Cambria Math" w:eastAsia="Times New Roman" w:hAnsi="Cambria Math"/>
                        </w:rPr>
                        <m:t>t</m:t>
                      </m:r>
                    </m:e>
                  </m:d>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S1</m:t>
                      </m:r>
                    </m:sub>
                  </m:sSub>
                  <m:d>
                    <m:dPr>
                      <m:ctrlPr>
                        <w:rPr>
                          <w:rFonts w:ascii="Cambria Math" w:eastAsia="Times New Roman" w:hAnsi="Cambria Math"/>
                          <w:i/>
                        </w:rPr>
                      </m:ctrlPr>
                    </m:dPr>
                    <m:e>
                      <m:r>
                        <w:rPr>
                          <w:rFonts w:ascii="Cambria Math" w:eastAsia="Times New Roman" w:hAnsi="Cambria Math"/>
                        </w:rPr>
                        <m:t>t</m:t>
                      </m:r>
                    </m:e>
                  </m:d>
                  <m:r>
                    <w:rPr>
                      <w:rFonts w:ascii="Cambria Math" w:eastAsia="Times New Roman" w:hAnsi="Cambria Math"/>
                    </w:rPr>
                    <m:t>&lt;-b</m:t>
                  </m:r>
                </m:e>
                <m:e>
                  <m:r>
                    <m:rPr>
                      <m:nor/>
                    </m:rPr>
                    <w:rPr>
                      <w:rFonts w:ascii="Cambria Math" w:eastAsia="Times New Roman" w:hAnsi="Cambria Math"/>
                    </w:rPr>
                    <m:t>"S2"</m:t>
                  </m:r>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S2</m:t>
                      </m:r>
                    </m:sub>
                  </m:sSub>
                  <m:d>
                    <m:dPr>
                      <m:ctrlPr>
                        <w:rPr>
                          <w:rFonts w:ascii="Cambria Math" w:eastAsia="Times New Roman" w:hAnsi="Cambria Math"/>
                          <w:i/>
                        </w:rPr>
                      </m:ctrlPr>
                    </m:dPr>
                    <m:e>
                      <m:r>
                        <w:rPr>
                          <w:rFonts w:ascii="Cambria Math" w:eastAsia="Times New Roman" w:hAnsi="Cambria Math"/>
                        </w:rPr>
                        <m:t>t</m:t>
                      </m:r>
                    </m:e>
                  </m:d>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S1</m:t>
                      </m:r>
                    </m:sub>
                  </m:sSub>
                  <m:d>
                    <m:dPr>
                      <m:ctrlPr>
                        <w:rPr>
                          <w:rFonts w:ascii="Cambria Math" w:eastAsia="Times New Roman" w:hAnsi="Cambria Math"/>
                          <w:i/>
                        </w:rPr>
                      </m:ctrlPr>
                    </m:dPr>
                    <m:e>
                      <m:r>
                        <w:rPr>
                          <w:rFonts w:ascii="Cambria Math" w:eastAsia="Times New Roman" w:hAnsi="Cambria Math"/>
                        </w:rPr>
                        <m:t>t</m:t>
                      </m:r>
                    </m:e>
                  </m:d>
                  <m:r>
                    <w:rPr>
                      <w:rFonts w:ascii="Cambria Math" w:eastAsia="Times New Roman" w:hAnsi="Cambria Math"/>
                    </w:rPr>
                    <m:t>&gt;+b</m:t>
                  </m:r>
                </m:e>
                <m:e>
                  <m:r>
                    <m:rPr>
                      <m:nor/>
                    </m:rPr>
                    <w:rPr>
                      <w:rFonts w:ascii="Cambria Math" w:eastAsia="Times New Roman" w:hAnsi="Cambria Math"/>
                    </w:rPr>
                    <m:t>none</m:t>
                  </m:r>
                  <m:r>
                    <w:rPr>
                      <w:rFonts w:ascii="Cambria Math" w:eastAsia="Times New Roman" w:hAnsi="Cambria Math"/>
                    </w:rPr>
                    <m:t xml:space="preserve">,     otherwise                    </m:t>
                  </m:r>
                </m:e>
              </m:eqArr>
            </m:e>
          </m:d>
        </m:oMath>
      </m:oMathPara>
    </w:p>
    <w:p w14:paraId="40F28B2E" w14:textId="77777777" w:rsidR="00AA5E79" w:rsidRDefault="00AA5E79" w:rsidP="00B30DEC">
      <w:pPr>
        <w:spacing w:after="0" w:line="480" w:lineRule="auto"/>
        <w:rPr>
          <w:rFonts w:eastAsia="Times New Roman"/>
        </w:rPr>
      </w:pPr>
    </w:p>
    <w:p w14:paraId="0C381E79" w14:textId="77777777" w:rsidR="00B05806" w:rsidRDefault="00B05806" w:rsidP="00B30DEC">
      <w:pPr>
        <w:spacing w:after="0" w:line="480" w:lineRule="auto"/>
        <w:rPr>
          <w:rFonts w:eastAsia="Times New Roman"/>
        </w:rPr>
      </w:pPr>
      <w:proofErr w:type="gramStart"/>
      <w:r>
        <w:rPr>
          <w:rFonts w:eastAsia="Times New Roman"/>
        </w:rPr>
        <w:t>where</w:t>
      </w:r>
      <w:proofErr w:type="gramEnd"/>
      <w:r>
        <w:rPr>
          <w:rFonts w:eastAsia="Times New Roman"/>
        </w:rPr>
        <w:t xml:space="preserve"> </w:t>
      </w:r>
      <w:r w:rsidRPr="00B05806">
        <w:rPr>
          <w:rFonts w:eastAsia="Times New Roman"/>
        </w:rPr>
        <w:t>±</w:t>
      </w:r>
      <w:r>
        <w:rPr>
          <w:rFonts w:eastAsia="Times New Roman"/>
        </w:rPr>
        <w:t>b represents the values of the decision boundary, such that a response is elicited at time t if the difference in accumulated evidence for S1 and S2 exceeds one of the decision bounds.</w:t>
      </w:r>
    </w:p>
    <w:p w14:paraId="5FF5D0A3" w14:textId="54E2F541" w:rsidR="00B05806" w:rsidRDefault="00916590" w:rsidP="00B30DEC">
      <w:pPr>
        <w:spacing w:after="0" w:line="480" w:lineRule="auto"/>
        <w:rPr>
          <w:rFonts w:eastAsia="Times New Roman"/>
        </w:rPr>
      </w:pPr>
      <w:r>
        <w:rPr>
          <w:rFonts w:eastAsia="Times New Roman"/>
        </w:rPr>
        <w:tab/>
        <w:t>In our simulation we used one level of S1 stimulus strength and seven levels of S2 stimulus strength, and simulated 5000 trials for each level of S1 and S2 stimulus strength. We selected parameter values for the model such that when dx</w:t>
      </w:r>
      <w:r w:rsidRPr="00D41BCC">
        <w:rPr>
          <w:rFonts w:eastAsia="Times New Roman"/>
          <w:vertAlign w:val="subscript"/>
        </w:rPr>
        <w:t>S1</w:t>
      </w:r>
      <w:r>
        <w:rPr>
          <w:rFonts w:eastAsia="Times New Roman"/>
        </w:rPr>
        <w:t xml:space="preserve"> = dx</w:t>
      </w:r>
      <w:r w:rsidRPr="00D41BCC">
        <w:rPr>
          <w:rFonts w:eastAsia="Times New Roman"/>
          <w:vertAlign w:val="subscript"/>
        </w:rPr>
        <w:t>S</w:t>
      </w:r>
      <w:r>
        <w:rPr>
          <w:rFonts w:eastAsia="Times New Roman"/>
          <w:vertAlign w:val="subscript"/>
        </w:rPr>
        <w:t>2</w:t>
      </w:r>
      <w:r>
        <w:rPr>
          <w:rFonts w:eastAsia="Times New Roman"/>
        </w:rPr>
        <w:t xml:space="preserve"> then d’ </w:t>
      </w:r>
      <w:r w:rsidRPr="00916590">
        <w:rPr>
          <w:rFonts w:eastAsia="Times New Roman"/>
        </w:rPr>
        <w:t>≈</w:t>
      </w:r>
      <w:r>
        <w:rPr>
          <w:rFonts w:eastAsia="Times New Roman"/>
        </w:rPr>
        <w:t xml:space="preserve"> 1.5, and the minimum and maximum values of dx</w:t>
      </w:r>
      <w:r w:rsidRPr="00D41BCC">
        <w:rPr>
          <w:rFonts w:eastAsia="Times New Roman"/>
          <w:vertAlign w:val="subscript"/>
        </w:rPr>
        <w:t>S</w:t>
      </w:r>
      <w:r>
        <w:rPr>
          <w:rFonts w:eastAsia="Times New Roman"/>
          <w:vertAlign w:val="subscript"/>
        </w:rPr>
        <w:t>2</w:t>
      </w:r>
      <w:r>
        <w:rPr>
          <w:rFonts w:eastAsia="Times New Roman"/>
        </w:rPr>
        <w:t xml:space="preserve"> yielded d’ values of approximately 1 and 2.5, respectively. Thus the range of d’ values produced by the diffusion model across different levels of S2 stimulus strength close</w:t>
      </w:r>
      <w:r w:rsidR="0038303A">
        <w:rPr>
          <w:rFonts w:eastAsia="Times New Roman"/>
        </w:rPr>
        <w:t>ly matched those probed in the R</w:t>
      </w:r>
      <w:r>
        <w:rPr>
          <w:rFonts w:eastAsia="Times New Roman"/>
        </w:rPr>
        <w:t>esponse</w:t>
      </w:r>
      <w:r w:rsidR="0038303A">
        <w:rPr>
          <w:rFonts w:eastAsia="Times New Roman"/>
        </w:rPr>
        <w:t>-C</w:t>
      </w:r>
      <w:r>
        <w:rPr>
          <w:rFonts w:eastAsia="Times New Roman"/>
        </w:rPr>
        <w:t xml:space="preserve">ongruent </w:t>
      </w:r>
      <w:r w:rsidR="0038303A">
        <w:rPr>
          <w:rFonts w:eastAsia="Times New Roman"/>
        </w:rPr>
        <w:t>E</w:t>
      </w:r>
      <w:r>
        <w:rPr>
          <w:rFonts w:eastAsia="Times New Roman"/>
        </w:rPr>
        <w:t xml:space="preserve">vidence rule simulation (Fig. 4A) and in the empirical data (Fig. 4B). We measured </w:t>
      </w:r>
      <w:r>
        <w:rPr>
          <w:rFonts w:eastAsia="Times New Roman"/>
        </w:rPr>
        <w:lastRenderedPageBreak/>
        <w:t>reaction time on each trial as the number of time steps required to reach a decision bound, and summarized reaction time across trials by taking the median value.</w:t>
      </w:r>
    </w:p>
    <w:p w14:paraId="7451DE65" w14:textId="7AF26FAA" w:rsidR="00CC53C6" w:rsidRDefault="00CC53C6" w:rsidP="0050076F">
      <w:pPr>
        <w:spacing w:after="0" w:line="480" w:lineRule="auto"/>
        <w:rPr>
          <w:rFonts w:eastAsia="Times New Roman"/>
        </w:rPr>
      </w:pPr>
      <w:r>
        <w:rPr>
          <w:rFonts w:eastAsia="Times New Roman"/>
        </w:rPr>
        <w:tab/>
      </w:r>
      <w:proofErr w:type="gramStart"/>
      <w:r>
        <w:rPr>
          <w:rFonts w:eastAsia="Times New Roman"/>
        </w:rPr>
        <w:t>In Fig.</w:t>
      </w:r>
      <w:proofErr w:type="gramEnd"/>
      <w:r>
        <w:rPr>
          <w:rFonts w:eastAsia="Times New Roman"/>
        </w:rPr>
        <w:t xml:space="preserve"> S4A we plot the median reaction time as a function of response type, accuracy, and S2 stimulus strength for the diffusion simulation, and in Fig. S4B-C we plot the empirical median reaction time data from Experiments 1 and 2. </w:t>
      </w:r>
      <w:proofErr w:type="gramStart"/>
      <w:r>
        <w:rPr>
          <w:rFonts w:eastAsia="Times New Roman"/>
        </w:rPr>
        <w:t>Fig.</w:t>
      </w:r>
      <w:proofErr w:type="gramEnd"/>
      <w:r>
        <w:rPr>
          <w:rFonts w:eastAsia="Times New Roman"/>
        </w:rPr>
        <w:t xml:space="preserve"> S4A demonstrates that the diffusion model simulation yielded decreasing reaction time for incorrect “S1” responses with increasing S2 stimulus strength. Thus, the diffusion model satisfies requirement (1) listed above.</w:t>
      </w:r>
      <w:r w:rsidR="007B63FE">
        <w:rPr>
          <w:rFonts w:eastAsia="Times New Roman"/>
        </w:rPr>
        <w:t xml:space="preserve"> </w:t>
      </w:r>
      <w:r w:rsidR="0050076F">
        <w:rPr>
          <w:rFonts w:eastAsia="Times New Roman"/>
        </w:rPr>
        <w:t>(</w:t>
      </w:r>
      <w:r w:rsidR="008A79A4">
        <w:rPr>
          <w:rFonts w:eastAsia="Times New Roman"/>
        </w:rPr>
        <w:t>We verified that the patterns exhibited in Fig</w:t>
      </w:r>
      <w:r w:rsidR="0050076F">
        <w:rPr>
          <w:rFonts w:eastAsia="Times New Roman"/>
        </w:rPr>
        <w:t>.</w:t>
      </w:r>
      <w:r w:rsidR="008A79A4">
        <w:rPr>
          <w:rFonts w:eastAsia="Times New Roman"/>
        </w:rPr>
        <w:t xml:space="preserve"> S4A were preserved even when changing the evidence accumulation starting point by setting </w:t>
      </w:r>
      <w:proofErr w:type="gramStart"/>
      <w:r w:rsidR="008A79A4">
        <w:rPr>
          <w:rFonts w:eastAsia="Times New Roman"/>
        </w:rPr>
        <w:t>x</w:t>
      </w:r>
      <w:r w:rsidR="008A79A4" w:rsidRPr="00D41BCC">
        <w:rPr>
          <w:rFonts w:eastAsia="Times New Roman"/>
          <w:vertAlign w:val="subscript"/>
        </w:rPr>
        <w:t>S1</w:t>
      </w:r>
      <w:r w:rsidR="008A79A4">
        <w:rPr>
          <w:rFonts w:eastAsia="Times New Roman"/>
        </w:rPr>
        <w:t>(</w:t>
      </w:r>
      <w:proofErr w:type="gramEnd"/>
      <w:r w:rsidR="008A79A4">
        <w:rPr>
          <w:rFonts w:eastAsia="Times New Roman"/>
        </w:rPr>
        <w:t>0) = 0.25, 0.5, or 0.75 while keeping x</w:t>
      </w:r>
      <w:r w:rsidR="008A79A4" w:rsidRPr="00D41BCC">
        <w:rPr>
          <w:rFonts w:eastAsia="Times New Roman"/>
          <w:vertAlign w:val="subscript"/>
        </w:rPr>
        <w:t>S</w:t>
      </w:r>
      <w:r w:rsidR="008A79A4">
        <w:rPr>
          <w:rFonts w:eastAsia="Times New Roman"/>
          <w:vertAlign w:val="subscript"/>
        </w:rPr>
        <w:t>2</w:t>
      </w:r>
      <w:r w:rsidR="008A79A4">
        <w:rPr>
          <w:rFonts w:eastAsia="Times New Roman"/>
        </w:rPr>
        <w:t>(0) = 0, and setting x</w:t>
      </w:r>
      <w:r w:rsidR="008A79A4" w:rsidRPr="00D41BCC">
        <w:rPr>
          <w:rFonts w:eastAsia="Times New Roman"/>
          <w:vertAlign w:val="subscript"/>
        </w:rPr>
        <w:t>S</w:t>
      </w:r>
      <w:r w:rsidR="008A79A4">
        <w:rPr>
          <w:rFonts w:eastAsia="Times New Roman"/>
          <w:vertAlign w:val="subscript"/>
        </w:rPr>
        <w:t>2</w:t>
      </w:r>
      <w:r w:rsidR="008A79A4">
        <w:rPr>
          <w:rFonts w:eastAsia="Times New Roman"/>
        </w:rPr>
        <w:t>(0)</w:t>
      </w:r>
      <w:r w:rsidR="008A79A4" w:rsidRPr="008A79A4">
        <w:rPr>
          <w:rFonts w:eastAsia="Times New Roman"/>
        </w:rPr>
        <w:t xml:space="preserve"> </w:t>
      </w:r>
      <w:r w:rsidR="008A79A4">
        <w:rPr>
          <w:rFonts w:eastAsia="Times New Roman"/>
        </w:rPr>
        <w:t>= 0.25, 0.5, or 0.75 while keeping x</w:t>
      </w:r>
      <w:r w:rsidR="008A79A4" w:rsidRPr="00D41BCC">
        <w:rPr>
          <w:rFonts w:eastAsia="Times New Roman"/>
          <w:vertAlign w:val="subscript"/>
        </w:rPr>
        <w:t>S</w:t>
      </w:r>
      <w:r w:rsidR="008A79A4">
        <w:rPr>
          <w:rFonts w:eastAsia="Times New Roman"/>
          <w:vertAlign w:val="subscript"/>
        </w:rPr>
        <w:t>1</w:t>
      </w:r>
      <w:r w:rsidR="008A79A4">
        <w:rPr>
          <w:rFonts w:eastAsia="Times New Roman"/>
        </w:rPr>
        <w:t>(0) = 0. We also observed similar patterns when adding time steps due to non-decision related processes drawn randomly from a normal distribution on each trial.</w:t>
      </w:r>
      <w:r w:rsidR="0050076F">
        <w:rPr>
          <w:rFonts w:eastAsia="Times New Roman"/>
        </w:rPr>
        <w:t>)</w:t>
      </w:r>
    </w:p>
    <w:p w14:paraId="03CDB916" w14:textId="77777777" w:rsidR="00CC53C6" w:rsidRDefault="00CC53C6" w:rsidP="00B30DEC">
      <w:pPr>
        <w:spacing w:after="0" w:line="480" w:lineRule="auto"/>
        <w:rPr>
          <w:rFonts w:eastAsia="Times New Roman"/>
        </w:rPr>
      </w:pPr>
      <w:r>
        <w:rPr>
          <w:rFonts w:eastAsia="Times New Roman"/>
        </w:rPr>
        <w:tab/>
        <w:t xml:space="preserve">However, in the empirical reaction time data for Experiment 1, it can be seen that reaction time for incorrect “S1” responses is constant, rather than decreasing, across the four highest levels of S2 stimulus strength (Fig. S4B). </w:t>
      </w:r>
      <w:proofErr w:type="gramStart"/>
      <w:r>
        <w:rPr>
          <w:rFonts w:eastAsia="Times New Roman"/>
        </w:rPr>
        <w:t>In particular, although mean confidence for incorrect “S1” responses increases for the highest levels of S2 stimulus strength (Fig.</w:t>
      </w:r>
      <w:proofErr w:type="gramEnd"/>
      <w:r>
        <w:rPr>
          <w:rFonts w:eastAsia="Times New Roman"/>
        </w:rPr>
        <w:t xml:space="preserve"> S3A), which drives the reduction in meta-d’ for “S1” responses at these same levels of S2 stimulus strength (Fig. 4B), </w:t>
      </w:r>
      <w:r w:rsidR="003111D9">
        <w:rPr>
          <w:rFonts w:eastAsia="Times New Roman"/>
        </w:rPr>
        <w:t>a concomitant decrease in reaction time for incorrect “S1” responses is not observed in the empirical data (Fig. S4B). Thus, the diffusion model account of the metacognitive dissociation fails criterion (2) listed above, since the empirical data do not support the claim that confidence for incorrect “S1” responses is driven by reaction time for incorrect “S1” responses.</w:t>
      </w:r>
    </w:p>
    <w:p w14:paraId="318D1517" w14:textId="3D2A931B" w:rsidR="00706054" w:rsidRDefault="007B63FE" w:rsidP="00107DC9">
      <w:pPr>
        <w:spacing w:after="0" w:line="480" w:lineRule="auto"/>
        <w:rPr>
          <w:rFonts w:eastAsia="Times New Roman"/>
        </w:rPr>
      </w:pPr>
      <w:r>
        <w:rPr>
          <w:rFonts w:eastAsia="Times New Roman"/>
        </w:rPr>
        <w:tab/>
      </w:r>
      <w:r w:rsidR="00706054">
        <w:rPr>
          <w:rFonts w:eastAsia="Times New Roman"/>
        </w:rPr>
        <w:t xml:space="preserve">In the preceding, we have only intended to assess a very simple sort of diffusion model that posits that confidence and reaction time must be inversely related. More sophisticated models that allow for confidence to vary independently of reaction time could potentially account for the present </w:t>
      </w:r>
      <w:r w:rsidR="00706054">
        <w:rPr>
          <w:rFonts w:eastAsia="Times New Roman"/>
        </w:rPr>
        <w:lastRenderedPageBreak/>
        <w:t>findings. However, an extended consideration of more complex families of diffusion models is beyond the scope of the current work, and so we leave such investigations to future work.</w:t>
      </w:r>
    </w:p>
    <w:p w14:paraId="605418F2" w14:textId="7E6631AF" w:rsidR="007B63FE" w:rsidRDefault="007B63FE" w:rsidP="00B30DEC">
      <w:pPr>
        <w:spacing w:after="0" w:line="480" w:lineRule="auto"/>
        <w:rPr>
          <w:rFonts w:eastAsia="Times New Roman"/>
        </w:rPr>
      </w:pPr>
      <w:r>
        <w:rPr>
          <w:rFonts w:eastAsia="Times New Roman"/>
        </w:rPr>
        <w:t xml:space="preserve"> </w:t>
      </w:r>
    </w:p>
    <w:p w14:paraId="3BA1EEC8" w14:textId="77777777" w:rsidR="00774EBC" w:rsidRDefault="00774EBC" w:rsidP="00B30DEC">
      <w:pPr>
        <w:spacing w:after="0" w:line="480" w:lineRule="auto"/>
        <w:rPr>
          <w:rFonts w:eastAsia="Times New Roman"/>
        </w:rPr>
      </w:pPr>
    </w:p>
    <w:p w14:paraId="378A12BF" w14:textId="77777777" w:rsidR="00B05806" w:rsidRDefault="005F5ED2" w:rsidP="00B30DEC">
      <w:pPr>
        <w:spacing w:after="0" w:line="480" w:lineRule="auto"/>
        <w:rPr>
          <w:rFonts w:eastAsia="Times New Roman"/>
        </w:rPr>
      </w:pPr>
      <w:r>
        <w:rPr>
          <w:rFonts w:eastAsia="Times New Roman"/>
          <w:noProof/>
        </w:rPr>
        <w:drawing>
          <wp:inline distT="0" distB="0" distL="0" distR="0" wp14:anchorId="44EED97D" wp14:editId="1A1A5A84">
            <wp:extent cx="5930900" cy="4152900"/>
            <wp:effectExtent l="0" t="0" r="12700" b="12700"/>
            <wp:docPr id="5" name="Picture 3" descr="Description: C:\Users\maniscalcobs\Desktop\lab\publications\ongoing\old lab\active\PE\APP submission 2\supplementary figs from megan\fig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maniscalcobs\Desktop\lab\publications\ongoing\old lab\active\PE\APP submission 2\supplementary figs from megan\figS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0900" cy="4152900"/>
                    </a:xfrm>
                    <a:prstGeom prst="rect">
                      <a:avLst/>
                    </a:prstGeom>
                    <a:noFill/>
                    <a:ln>
                      <a:noFill/>
                    </a:ln>
                  </pic:spPr>
                </pic:pic>
              </a:graphicData>
            </a:graphic>
          </wp:inline>
        </w:drawing>
      </w:r>
    </w:p>
    <w:p w14:paraId="46FDF54A" w14:textId="77777777" w:rsidR="005966CB" w:rsidRDefault="00D71BFF" w:rsidP="00B30DEC">
      <w:pPr>
        <w:spacing w:after="0" w:line="480" w:lineRule="auto"/>
        <w:rPr>
          <w:rFonts w:eastAsia="Times New Roman" w:cs="Arial"/>
          <w:color w:val="000000"/>
        </w:rPr>
      </w:pPr>
      <w:r w:rsidRPr="00B32C56">
        <w:rPr>
          <w:rFonts w:eastAsia="Times New Roman" w:cs="Arial"/>
          <w:b/>
          <w:bCs/>
          <w:color w:val="000000"/>
        </w:rPr>
        <w:t>Figure S</w:t>
      </w:r>
      <w:r>
        <w:rPr>
          <w:rFonts w:eastAsia="Times New Roman" w:cs="Arial"/>
          <w:b/>
          <w:bCs/>
          <w:color w:val="000000"/>
        </w:rPr>
        <w:t>3</w:t>
      </w:r>
      <w:r w:rsidRPr="00B32C56">
        <w:rPr>
          <w:rFonts w:eastAsia="Times New Roman" w:cs="Arial"/>
          <w:b/>
          <w:bCs/>
          <w:color w:val="000000"/>
        </w:rPr>
        <w:t>.</w:t>
      </w:r>
      <w:r w:rsidRPr="00B32C56">
        <w:rPr>
          <w:rFonts w:eastAsia="Times New Roman" w:cs="Arial"/>
          <w:color w:val="000000"/>
        </w:rPr>
        <w:t xml:space="preserve"> </w:t>
      </w:r>
      <w:proofErr w:type="gramStart"/>
      <w:r w:rsidR="005966CB">
        <w:rPr>
          <w:rFonts w:eastAsia="Times New Roman" w:cs="Arial"/>
          <w:color w:val="000000"/>
        </w:rPr>
        <w:t>Average confidence in Experiment 1, and average points wagered in Experiment 2, as a function of response type, accuracy, and S2 stimulus strength.</w:t>
      </w:r>
      <w:proofErr w:type="gramEnd"/>
      <w:r w:rsidR="005966CB">
        <w:rPr>
          <w:rFonts w:eastAsia="Times New Roman" w:cs="Arial"/>
          <w:color w:val="000000"/>
        </w:rPr>
        <w:t xml:space="preserve"> Compare panel A with Fig. S1. Confidence for incorrect “S1” responses increases with increasing S2 stimulus strength even as confidence for correct “S1” responses remains constant. This has the effect of driving down area under the type 2 ROC curve (Fig. S2) and meta-d’ (Fig. 4) for “S1” responses even as d’ increases due to the increase in stimulus strength.</w:t>
      </w:r>
    </w:p>
    <w:p w14:paraId="17B7F1CD" w14:textId="77777777" w:rsidR="00D95A8E" w:rsidRDefault="00D95A8E" w:rsidP="00B30DEC">
      <w:pPr>
        <w:spacing w:after="0" w:line="480" w:lineRule="auto"/>
        <w:rPr>
          <w:rFonts w:eastAsia="Times New Roman" w:cs="Arial"/>
          <w:color w:val="000000"/>
        </w:rPr>
      </w:pPr>
    </w:p>
    <w:p w14:paraId="06C3F7C1" w14:textId="77777777" w:rsidR="00D95A8E" w:rsidRDefault="005F5ED2" w:rsidP="00B30DEC">
      <w:pPr>
        <w:spacing w:after="0" w:line="480" w:lineRule="auto"/>
        <w:rPr>
          <w:rFonts w:eastAsia="Times New Roman" w:cs="Arial"/>
          <w:color w:val="000000"/>
        </w:rPr>
      </w:pPr>
      <w:r>
        <w:rPr>
          <w:rFonts w:eastAsia="Times New Roman" w:cs="Arial"/>
          <w:noProof/>
          <w:color w:val="000000"/>
        </w:rPr>
        <w:lastRenderedPageBreak/>
        <w:drawing>
          <wp:inline distT="0" distB="0" distL="0" distR="0" wp14:anchorId="000F4616" wp14:editId="65005C15">
            <wp:extent cx="5930900" cy="2730500"/>
            <wp:effectExtent l="0" t="0" r="12700" b="12700"/>
            <wp:docPr id="6" name="Picture 4" descr="Description: C:\Users\maniscalcobs\Desktop\lab\publications\ongoing\old lab\active\PE\APP submission 2\supplementary figs from megan\fig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maniscalcobs\Desktop\lab\publications\ongoing\old lab\active\PE\APP submission 2\supplementary figs from megan\figS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0900" cy="2730500"/>
                    </a:xfrm>
                    <a:prstGeom prst="rect">
                      <a:avLst/>
                    </a:prstGeom>
                    <a:noFill/>
                    <a:ln>
                      <a:noFill/>
                    </a:ln>
                  </pic:spPr>
                </pic:pic>
              </a:graphicData>
            </a:graphic>
          </wp:inline>
        </w:drawing>
      </w:r>
    </w:p>
    <w:p w14:paraId="27045605" w14:textId="5358728A" w:rsidR="00D71BFF" w:rsidRDefault="00D95A8E" w:rsidP="0082151D">
      <w:pPr>
        <w:spacing w:after="0" w:line="480" w:lineRule="auto"/>
        <w:rPr>
          <w:rFonts w:eastAsia="Times New Roman"/>
        </w:rPr>
      </w:pPr>
      <w:r>
        <w:rPr>
          <w:rFonts w:eastAsia="Times New Roman" w:cs="Arial"/>
          <w:b/>
          <w:color w:val="000000"/>
        </w:rPr>
        <w:t>Figure S4.</w:t>
      </w:r>
      <w:r>
        <w:rPr>
          <w:rFonts w:eastAsia="Times New Roman" w:cs="Arial"/>
          <w:color w:val="000000"/>
        </w:rPr>
        <w:t xml:space="preserve"> </w:t>
      </w:r>
      <w:proofErr w:type="gramStart"/>
      <w:r>
        <w:rPr>
          <w:rFonts w:eastAsia="Times New Roman" w:cs="Arial"/>
          <w:color w:val="000000"/>
        </w:rPr>
        <w:t>Median reaction time as a function of response type, accuracy, and S2 stimulus strength for (A) drift diffusion model simulation, (B) Experiment 1, (C) Experiment 2.</w:t>
      </w:r>
      <w:proofErr w:type="gramEnd"/>
      <w:r>
        <w:rPr>
          <w:rFonts w:eastAsia="Times New Roman" w:cs="Arial"/>
          <w:color w:val="000000"/>
        </w:rPr>
        <w:t xml:space="preserve"> The drift diffusion model predicts that RT for incorrect “S1” responses should decrease with increasing S2 stimulus strength. Thus, if confidence and RT are inversely related, then the diffusion model would predict a pattern like that observed in Fig. S1 and could therefore provide a plausible alternative account for the dissociation observed in Fig. 4. </w:t>
      </w:r>
      <w:r w:rsidR="0082151D">
        <w:rPr>
          <w:rFonts w:eastAsia="Times New Roman" w:cs="Arial"/>
          <w:color w:val="000000"/>
        </w:rPr>
        <w:t>However, empirical RT in Experiment 1 does not decrease at the highest levels of S2 stimulus strength. Thus, the empirical RT do</w:t>
      </w:r>
      <w:r w:rsidR="00390512">
        <w:rPr>
          <w:rFonts w:eastAsia="Times New Roman" w:cs="Arial"/>
          <w:color w:val="000000"/>
        </w:rPr>
        <w:t>es</w:t>
      </w:r>
      <w:r w:rsidR="0082151D">
        <w:rPr>
          <w:rFonts w:eastAsia="Times New Roman" w:cs="Arial"/>
          <w:color w:val="000000"/>
        </w:rPr>
        <w:t xml:space="preserve"> not exhibit the relationship with confidence data required by the drift diffusion model account.</w:t>
      </w:r>
      <w:r w:rsidR="0082151D">
        <w:rPr>
          <w:rFonts w:eastAsia="Times New Roman"/>
        </w:rPr>
        <w:t xml:space="preserve"> </w:t>
      </w:r>
    </w:p>
    <w:p w14:paraId="6C64CC6A" w14:textId="77777777" w:rsidR="00D71BFF" w:rsidRDefault="00D71BFF" w:rsidP="00B30DEC">
      <w:pPr>
        <w:spacing w:after="0" w:line="480" w:lineRule="auto"/>
        <w:rPr>
          <w:rFonts w:eastAsia="Times New Roman"/>
        </w:rPr>
      </w:pPr>
    </w:p>
    <w:p w14:paraId="18A0291A" w14:textId="77777777" w:rsidR="000F67F7" w:rsidRDefault="000F67F7" w:rsidP="00B30DEC">
      <w:pPr>
        <w:spacing w:after="0" w:line="480" w:lineRule="auto"/>
        <w:rPr>
          <w:rFonts w:eastAsia="Times New Roman"/>
        </w:rPr>
      </w:pPr>
    </w:p>
    <w:p w14:paraId="53559885" w14:textId="77777777" w:rsidR="000F67F7" w:rsidRDefault="000F67F7" w:rsidP="00B30DEC">
      <w:pPr>
        <w:spacing w:after="0" w:line="480" w:lineRule="auto"/>
        <w:rPr>
          <w:rFonts w:eastAsia="Times New Roman"/>
        </w:rPr>
      </w:pPr>
    </w:p>
    <w:p w14:paraId="15C90A80" w14:textId="77777777" w:rsidR="000F67F7" w:rsidRDefault="000F67F7" w:rsidP="00B30DEC">
      <w:pPr>
        <w:spacing w:after="0" w:line="480" w:lineRule="auto"/>
        <w:rPr>
          <w:rFonts w:eastAsia="Times New Roman"/>
        </w:rPr>
      </w:pPr>
    </w:p>
    <w:p w14:paraId="5CA47E5B" w14:textId="77777777" w:rsidR="000F67F7" w:rsidRDefault="000F67F7" w:rsidP="00B30DEC">
      <w:pPr>
        <w:spacing w:after="0" w:line="480" w:lineRule="auto"/>
        <w:rPr>
          <w:rFonts w:eastAsia="Times New Roman"/>
        </w:rPr>
      </w:pPr>
    </w:p>
    <w:p w14:paraId="2D904931" w14:textId="77777777" w:rsidR="000F67F7" w:rsidRDefault="000F67F7" w:rsidP="00B30DEC">
      <w:pPr>
        <w:spacing w:after="0" w:line="480" w:lineRule="auto"/>
        <w:rPr>
          <w:rFonts w:eastAsia="Times New Roman"/>
        </w:rPr>
      </w:pPr>
    </w:p>
    <w:p w14:paraId="1354B85E" w14:textId="77777777" w:rsidR="000F67F7" w:rsidRDefault="000F67F7" w:rsidP="00B30DEC">
      <w:pPr>
        <w:spacing w:after="0" w:line="480" w:lineRule="auto"/>
        <w:rPr>
          <w:rFonts w:eastAsia="Times New Roman"/>
        </w:rPr>
      </w:pPr>
    </w:p>
    <w:p w14:paraId="3431A047" w14:textId="77777777" w:rsidR="000F67F7" w:rsidRDefault="000F67F7" w:rsidP="00B30DEC">
      <w:pPr>
        <w:spacing w:after="0" w:line="480" w:lineRule="auto"/>
        <w:rPr>
          <w:rFonts w:eastAsia="Times New Roman"/>
        </w:rPr>
      </w:pPr>
    </w:p>
    <w:p w14:paraId="7202ED19" w14:textId="22697E49" w:rsidR="00B05806" w:rsidRDefault="00772C26" w:rsidP="00B30DEC">
      <w:pPr>
        <w:spacing w:after="0" w:line="480" w:lineRule="auto"/>
        <w:rPr>
          <w:rFonts w:eastAsia="Times New Roman"/>
        </w:rPr>
      </w:pPr>
      <w:r w:rsidRPr="00B42A29">
        <w:rPr>
          <w:rFonts w:eastAsia="Times New Roman"/>
          <w:b/>
          <w:u w:val="single"/>
        </w:rPr>
        <w:lastRenderedPageBreak/>
        <w:t>Supplemental R</w:t>
      </w:r>
      <w:r w:rsidR="00FE0EDF" w:rsidRPr="00B42A29">
        <w:rPr>
          <w:rFonts w:eastAsia="Times New Roman"/>
          <w:b/>
          <w:u w:val="single"/>
        </w:rPr>
        <w:t>eferences</w:t>
      </w:r>
    </w:p>
    <w:p w14:paraId="54B0514D" w14:textId="232F2730" w:rsidR="00B42A29" w:rsidRPr="00B42A29" w:rsidRDefault="00B42A29">
      <w:pPr>
        <w:widowControl w:val="0"/>
        <w:autoSpaceDE w:val="0"/>
        <w:autoSpaceDN w:val="0"/>
        <w:adjustRightInd w:val="0"/>
        <w:spacing w:after="140" w:line="288" w:lineRule="auto"/>
        <w:ind w:left="480" w:hanging="480"/>
        <w:rPr>
          <w:noProof/>
          <w:szCs w:val="24"/>
        </w:rPr>
      </w:pPr>
      <w:r>
        <w:rPr>
          <w:rFonts w:eastAsia="Times New Roman"/>
        </w:rPr>
        <w:fldChar w:fldCharType="begin" w:fldLock="1"/>
      </w:r>
      <w:r>
        <w:rPr>
          <w:rFonts w:eastAsia="Times New Roman"/>
        </w:rPr>
        <w:instrText xml:space="preserve">ADDIN Mendeley Bibliography CSL_BIBLIOGRAPHY </w:instrText>
      </w:r>
      <w:r>
        <w:rPr>
          <w:rFonts w:eastAsia="Times New Roman"/>
        </w:rPr>
        <w:fldChar w:fldCharType="separate"/>
      </w:r>
      <w:r w:rsidRPr="00B42A29">
        <w:rPr>
          <w:noProof/>
          <w:szCs w:val="24"/>
        </w:rPr>
        <w:t xml:space="preserve">Galvin, S. J., Podd, J. V, Drga, V., &amp; Whitmore, J. (2003). Type 2 tasks in the theory of signal detectability: discrimination between correct and incorrect decisions. </w:t>
      </w:r>
      <w:r w:rsidRPr="00B42A29">
        <w:rPr>
          <w:i/>
          <w:iCs/>
          <w:noProof/>
          <w:szCs w:val="24"/>
        </w:rPr>
        <w:t>Psychonomic Bulletin &amp; Review</w:t>
      </w:r>
      <w:r w:rsidRPr="00B42A29">
        <w:rPr>
          <w:noProof/>
          <w:szCs w:val="24"/>
        </w:rPr>
        <w:t xml:space="preserve">, </w:t>
      </w:r>
      <w:r w:rsidRPr="00B42A29">
        <w:rPr>
          <w:i/>
          <w:iCs/>
          <w:noProof/>
          <w:szCs w:val="24"/>
        </w:rPr>
        <w:t>10</w:t>
      </w:r>
      <w:r w:rsidRPr="00B42A29">
        <w:rPr>
          <w:noProof/>
          <w:szCs w:val="24"/>
        </w:rPr>
        <w:t>(4), 843–876. doi:10.3758/BF03196546</w:t>
      </w:r>
    </w:p>
    <w:p w14:paraId="0B2BD982" w14:textId="77777777" w:rsidR="00B42A29" w:rsidRPr="00B42A29" w:rsidRDefault="00B42A29">
      <w:pPr>
        <w:widowControl w:val="0"/>
        <w:autoSpaceDE w:val="0"/>
        <w:autoSpaceDN w:val="0"/>
        <w:adjustRightInd w:val="0"/>
        <w:spacing w:after="140" w:line="288" w:lineRule="auto"/>
        <w:ind w:left="480" w:hanging="480"/>
        <w:rPr>
          <w:noProof/>
          <w:szCs w:val="24"/>
        </w:rPr>
      </w:pPr>
      <w:r w:rsidRPr="00B42A29">
        <w:rPr>
          <w:noProof/>
          <w:szCs w:val="24"/>
        </w:rPr>
        <w:t xml:space="preserve">Maniscalco, B., &amp; Lau, H. (2012). A signal detection theoretic approach for estimating metacognitive sensitivity from confidence ratings. </w:t>
      </w:r>
      <w:r w:rsidRPr="00B42A29">
        <w:rPr>
          <w:i/>
          <w:iCs/>
          <w:noProof/>
          <w:szCs w:val="24"/>
        </w:rPr>
        <w:t>Consciousness and Cognition</w:t>
      </w:r>
      <w:r w:rsidRPr="00B42A29">
        <w:rPr>
          <w:noProof/>
          <w:szCs w:val="24"/>
        </w:rPr>
        <w:t xml:space="preserve">, </w:t>
      </w:r>
      <w:r w:rsidRPr="00B42A29">
        <w:rPr>
          <w:i/>
          <w:iCs/>
          <w:noProof/>
          <w:szCs w:val="24"/>
        </w:rPr>
        <w:t>21</w:t>
      </w:r>
      <w:r w:rsidRPr="00B42A29">
        <w:rPr>
          <w:noProof/>
          <w:szCs w:val="24"/>
        </w:rPr>
        <w:t>(1), 422–430.</w:t>
      </w:r>
    </w:p>
    <w:p w14:paraId="2C43FE3C" w14:textId="77777777" w:rsidR="00B42A29" w:rsidRPr="00B42A29" w:rsidRDefault="00B42A29">
      <w:pPr>
        <w:widowControl w:val="0"/>
        <w:autoSpaceDE w:val="0"/>
        <w:autoSpaceDN w:val="0"/>
        <w:adjustRightInd w:val="0"/>
        <w:spacing w:after="140" w:line="288" w:lineRule="auto"/>
        <w:ind w:left="480" w:hanging="480"/>
        <w:rPr>
          <w:noProof/>
        </w:rPr>
      </w:pPr>
      <w:r w:rsidRPr="00B42A29">
        <w:rPr>
          <w:noProof/>
          <w:szCs w:val="24"/>
        </w:rPr>
        <w:t xml:space="preserve">Pleskac, T. J., &amp; Busemeyer, J. R. (2010). Two-stage dynamic signal detection: a theory of choice, decision time, and confidence. </w:t>
      </w:r>
      <w:r w:rsidRPr="00B42A29">
        <w:rPr>
          <w:i/>
          <w:iCs/>
          <w:noProof/>
          <w:szCs w:val="24"/>
        </w:rPr>
        <w:t>Psychological Review</w:t>
      </w:r>
      <w:r w:rsidRPr="00B42A29">
        <w:rPr>
          <w:noProof/>
          <w:szCs w:val="24"/>
        </w:rPr>
        <w:t xml:space="preserve">, </w:t>
      </w:r>
      <w:r w:rsidRPr="00B42A29">
        <w:rPr>
          <w:i/>
          <w:iCs/>
          <w:noProof/>
          <w:szCs w:val="24"/>
        </w:rPr>
        <w:t>117</w:t>
      </w:r>
      <w:r w:rsidRPr="00B42A29">
        <w:rPr>
          <w:noProof/>
          <w:szCs w:val="24"/>
        </w:rPr>
        <w:t>(3), 864–901. doi:10.1037/a0019737</w:t>
      </w:r>
    </w:p>
    <w:p w14:paraId="38B52014" w14:textId="0F6A19E8" w:rsidR="002165DA" w:rsidRPr="002165DA" w:rsidRDefault="00B42A29" w:rsidP="00B30DEC">
      <w:pPr>
        <w:spacing w:after="0" w:line="480" w:lineRule="auto"/>
        <w:rPr>
          <w:rFonts w:eastAsia="Times New Roman"/>
        </w:rPr>
      </w:pPr>
      <w:r>
        <w:rPr>
          <w:rFonts w:eastAsia="Times New Roman"/>
        </w:rPr>
        <w:fldChar w:fldCharType="end"/>
      </w:r>
      <w:r w:rsidR="00092834" w:rsidRPr="00092834">
        <w:rPr>
          <w:rFonts w:ascii="Arial" w:hAnsi="Arial" w:cs="Arial"/>
          <w:color w:val="222222"/>
          <w:sz w:val="20"/>
          <w:szCs w:val="20"/>
          <w:shd w:val="clear" w:color="auto" w:fill="FFFFFF"/>
        </w:rPr>
        <w:t xml:space="preserve"> </w:t>
      </w:r>
      <w:r w:rsidR="00092834">
        <w:rPr>
          <w:rFonts w:ascii="Arial" w:hAnsi="Arial" w:cs="Arial"/>
          <w:color w:val="222222"/>
          <w:sz w:val="20"/>
          <w:szCs w:val="20"/>
          <w:shd w:val="clear" w:color="auto" w:fill="FFFFFF"/>
        </w:rPr>
        <w:t xml:space="preserve">Ratcliff, R. (1978). </w:t>
      </w:r>
      <w:proofErr w:type="gramStart"/>
      <w:r w:rsidR="00092834">
        <w:rPr>
          <w:rFonts w:ascii="Arial" w:hAnsi="Arial" w:cs="Arial"/>
          <w:color w:val="222222"/>
          <w:sz w:val="20"/>
          <w:szCs w:val="20"/>
          <w:shd w:val="clear" w:color="auto" w:fill="FFFFFF"/>
        </w:rPr>
        <w:t>A theory of memory retrieval.</w:t>
      </w:r>
      <w:proofErr w:type="gramEnd"/>
      <w:r w:rsidR="00092834">
        <w:rPr>
          <w:rStyle w:val="apple-converted-space"/>
          <w:rFonts w:ascii="Arial" w:hAnsi="Arial" w:cs="Arial"/>
          <w:color w:val="222222"/>
          <w:sz w:val="20"/>
          <w:szCs w:val="20"/>
          <w:shd w:val="clear" w:color="auto" w:fill="FFFFFF"/>
        </w:rPr>
        <w:t> </w:t>
      </w:r>
      <w:proofErr w:type="gramStart"/>
      <w:r w:rsidR="00092834">
        <w:rPr>
          <w:rFonts w:ascii="Arial" w:hAnsi="Arial" w:cs="Arial"/>
          <w:i/>
          <w:iCs/>
          <w:color w:val="222222"/>
          <w:sz w:val="20"/>
          <w:szCs w:val="20"/>
          <w:shd w:val="clear" w:color="auto" w:fill="FFFFFF"/>
        </w:rPr>
        <w:t>Psychological review</w:t>
      </w:r>
      <w:r w:rsidR="00092834">
        <w:rPr>
          <w:rFonts w:ascii="Arial" w:hAnsi="Arial" w:cs="Arial"/>
          <w:color w:val="222222"/>
          <w:sz w:val="20"/>
          <w:szCs w:val="20"/>
          <w:shd w:val="clear" w:color="auto" w:fill="FFFFFF"/>
        </w:rPr>
        <w:t>,</w:t>
      </w:r>
      <w:r w:rsidR="00092834">
        <w:rPr>
          <w:rStyle w:val="apple-converted-space"/>
          <w:rFonts w:ascii="Arial" w:hAnsi="Arial" w:cs="Arial"/>
          <w:color w:val="222222"/>
          <w:sz w:val="20"/>
          <w:szCs w:val="20"/>
          <w:shd w:val="clear" w:color="auto" w:fill="FFFFFF"/>
        </w:rPr>
        <w:t> </w:t>
      </w:r>
      <w:r w:rsidR="00092834">
        <w:rPr>
          <w:rFonts w:ascii="Arial" w:hAnsi="Arial" w:cs="Arial"/>
          <w:i/>
          <w:iCs/>
          <w:color w:val="222222"/>
          <w:sz w:val="20"/>
          <w:szCs w:val="20"/>
          <w:shd w:val="clear" w:color="auto" w:fill="FFFFFF"/>
        </w:rPr>
        <w:t>85</w:t>
      </w:r>
      <w:r w:rsidR="00092834">
        <w:rPr>
          <w:rFonts w:ascii="Arial" w:hAnsi="Arial" w:cs="Arial"/>
          <w:color w:val="222222"/>
          <w:sz w:val="20"/>
          <w:szCs w:val="20"/>
          <w:shd w:val="clear" w:color="auto" w:fill="FFFFFF"/>
        </w:rPr>
        <w:t>(2), 59.</w:t>
      </w:r>
      <w:proofErr w:type="gramEnd"/>
    </w:p>
    <w:p w14:paraId="297AD174" w14:textId="2580ED42" w:rsidR="00B30DEC" w:rsidRPr="00B32C56" w:rsidRDefault="00B30DEC" w:rsidP="00D90B1C">
      <w:pPr>
        <w:spacing w:after="0" w:line="480" w:lineRule="auto"/>
        <w:ind w:firstLine="720"/>
        <w:rPr>
          <w:rFonts w:eastAsia="Times New Roman"/>
        </w:rPr>
      </w:pPr>
    </w:p>
    <w:p w14:paraId="55E6DC72" w14:textId="77777777" w:rsidR="00D90B1C" w:rsidRDefault="00D90B1C" w:rsidP="00D90B1C">
      <w:pPr>
        <w:spacing w:after="0" w:line="480" w:lineRule="auto"/>
        <w:rPr>
          <w:rFonts w:eastAsia="Times New Roman"/>
          <w:i/>
          <w:iCs/>
          <w:color w:val="000000"/>
        </w:rPr>
      </w:pPr>
    </w:p>
    <w:p w14:paraId="434F6DF7" w14:textId="77777777" w:rsidR="00D90B1C" w:rsidRPr="00B32C56" w:rsidRDefault="00D90B1C" w:rsidP="00D90B1C">
      <w:pPr>
        <w:spacing w:after="0" w:line="480" w:lineRule="auto"/>
        <w:rPr>
          <w:rFonts w:eastAsia="Times New Roman"/>
        </w:rPr>
      </w:pPr>
    </w:p>
    <w:p w14:paraId="2800AC02" w14:textId="77777777" w:rsidR="00B30DEC" w:rsidRPr="00B32C56" w:rsidRDefault="00B30DEC" w:rsidP="00B30DEC">
      <w:pPr>
        <w:spacing w:after="0" w:line="480" w:lineRule="auto"/>
        <w:rPr>
          <w:rFonts w:eastAsia="Times New Roman"/>
        </w:rPr>
      </w:pPr>
    </w:p>
    <w:p w14:paraId="3CD3A2F1" w14:textId="77777777" w:rsidR="00B30DEC" w:rsidRPr="00B32C56" w:rsidRDefault="00B30DEC" w:rsidP="00B30DEC">
      <w:pPr>
        <w:spacing w:after="0" w:line="480" w:lineRule="auto"/>
        <w:rPr>
          <w:rFonts w:eastAsia="Times New Roman"/>
        </w:rPr>
      </w:pPr>
    </w:p>
    <w:p w14:paraId="37514172" w14:textId="77777777" w:rsidR="00B30DEC" w:rsidRDefault="00B30DEC" w:rsidP="00B30DEC">
      <w:pPr>
        <w:spacing w:after="0" w:line="480" w:lineRule="auto"/>
        <w:rPr>
          <w:rFonts w:eastAsia="Times New Roman"/>
        </w:rPr>
      </w:pPr>
    </w:p>
    <w:p w14:paraId="434892EC" w14:textId="77777777" w:rsidR="00D90B1C" w:rsidRPr="00B32C56" w:rsidRDefault="00D90B1C" w:rsidP="00B30DEC">
      <w:pPr>
        <w:spacing w:after="0" w:line="480" w:lineRule="auto"/>
        <w:rPr>
          <w:rFonts w:eastAsia="Times New Roman"/>
        </w:rPr>
      </w:pPr>
    </w:p>
    <w:p w14:paraId="6F43ABB9" w14:textId="77777777" w:rsidR="00B30DEC" w:rsidRDefault="00B30DEC" w:rsidP="00B30DEC">
      <w:pPr>
        <w:spacing w:after="0" w:line="480" w:lineRule="auto"/>
      </w:pPr>
    </w:p>
    <w:p w14:paraId="121FC23C" w14:textId="77777777" w:rsidR="00CE6DEF" w:rsidRDefault="00CE6DEF" w:rsidP="00B30DEC">
      <w:pPr>
        <w:spacing w:after="0" w:line="480" w:lineRule="auto"/>
      </w:pPr>
    </w:p>
    <w:p w14:paraId="676B2C2B" w14:textId="77777777" w:rsidR="00CE6DEF" w:rsidRDefault="00CE6DEF" w:rsidP="00B30DEC">
      <w:pPr>
        <w:spacing w:after="0" w:line="480" w:lineRule="auto"/>
      </w:pPr>
    </w:p>
    <w:p w14:paraId="158A6C8D" w14:textId="77777777" w:rsidR="00CE6DEF" w:rsidRDefault="00CE6DEF" w:rsidP="00B30DEC">
      <w:pPr>
        <w:spacing w:after="0" w:line="480" w:lineRule="auto"/>
      </w:pPr>
    </w:p>
    <w:p w14:paraId="7A732B85" w14:textId="77777777" w:rsidR="00CE6DEF" w:rsidRPr="00B32C56" w:rsidRDefault="00CE6DEF" w:rsidP="00B30DEC">
      <w:pPr>
        <w:spacing w:after="0" w:line="480" w:lineRule="auto"/>
      </w:pPr>
    </w:p>
    <w:p w14:paraId="13A3A8A0" w14:textId="0CCA1F80" w:rsidR="00B15FCC" w:rsidRPr="00D06BBF" w:rsidRDefault="00B15FCC">
      <w:bookmarkStart w:id="0" w:name="_GoBack"/>
      <w:bookmarkEnd w:id="0"/>
    </w:p>
    <w:sectPr w:rsidR="00B15FCC" w:rsidRPr="00D06B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7662FD"/>
    <w:multiLevelType w:val="hybridMultilevel"/>
    <w:tmpl w:val="7AB875F2"/>
    <w:lvl w:ilvl="0" w:tplc="75EE98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DEC"/>
    <w:rsid w:val="00042E4B"/>
    <w:rsid w:val="00046612"/>
    <w:rsid w:val="0009175E"/>
    <w:rsid w:val="00092834"/>
    <w:rsid w:val="000B0694"/>
    <w:rsid w:val="000F67F7"/>
    <w:rsid w:val="00107DC9"/>
    <w:rsid w:val="00162E40"/>
    <w:rsid w:val="0019361E"/>
    <w:rsid w:val="002165DA"/>
    <w:rsid w:val="00271558"/>
    <w:rsid w:val="002D5524"/>
    <w:rsid w:val="002E5A51"/>
    <w:rsid w:val="003111D9"/>
    <w:rsid w:val="0038303A"/>
    <w:rsid w:val="00390512"/>
    <w:rsid w:val="003A4153"/>
    <w:rsid w:val="003B4293"/>
    <w:rsid w:val="003D76FB"/>
    <w:rsid w:val="003E3A32"/>
    <w:rsid w:val="003F52F4"/>
    <w:rsid w:val="00493751"/>
    <w:rsid w:val="0050076F"/>
    <w:rsid w:val="005171BF"/>
    <w:rsid w:val="005966CB"/>
    <w:rsid w:val="005F5ED2"/>
    <w:rsid w:val="00623E21"/>
    <w:rsid w:val="00674F51"/>
    <w:rsid w:val="006B081C"/>
    <w:rsid w:val="006B21A8"/>
    <w:rsid w:val="006B6383"/>
    <w:rsid w:val="006E6AF6"/>
    <w:rsid w:val="00706054"/>
    <w:rsid w:val="0073107D"/>
    <w:rsid w:val="007653C7"/>
    <w:rsid w:val="00772C26"/>
    <w:rsid w:val="00774EBC"/>
    <w:rsid w:val="007839D6"/>
    <w:rsid w:val="007B63FE"/>
    <w:rsid w:val="0082151D"/>
    <w:rsid w:val="00844BE5"/>
    <w:rsid w:val="008A79A4"/>
    <w:rsid w:val="00916590"/>
    <w:rsid w:val="009512F9"/>
    <w:rsid w:val="0097519C"/>
    <w:rsid w:val="0098519C"/>
    <w:rsid w:val="00A469FE"/>
    <w:rsid w:val="00AA5E79"/>
    <w:rsid w:val="00B05806"/>
    <w:rsid w:val="00B15FCC"/>
    <w:rsid w:val="00B30DEC"/>
    <w:rsid w:val="00B42A29"/>
    <w:rsid w:val="00B901C9"/>
    <w:rsid w:val="00BE04D0"/>
    <w:rsid w:val="00C020B6"/>
    <w:rsid w:val="00C33A3E"/>
    <w:rsid w:val="00CB18C3"/>
    <w:rsid w:val="00CC53C6"/>
    <w:rsid w:val="00CE6DEF"/>
    <w:rsid w:val="00D06BBF"/>
    <w:rsid w:val="00D41BCC"/>
    <w:rsid w:val="00D46BF3"/>
    <w:rsid w:val="00D71BFF"/>
    <w:rsid w:val="00D764C2"/>
    <w:rsid w:val="00D84716"/>
    <w:rsid w:val="00D90B1C"/>
    <w:rsid w:val="00D95A8E"/>
    <w:rsid w:val="00E849B9"/>
    <w:rsid w:val="00FE0E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B23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DE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0DE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30DEC"/>
    <w:rPr>
      <w:rFonts w:ascii="Tahoma" w:hAnsi="Tahoma" w:cs="Tahoma"/>
      <w:sz w:val="16"/>
      <w:szCs w:val="16"/>
    </w:rPr>
  </w:style>
  <w:style w:type="character" w:styleId="CommentReference">
    <w:name w:val="annotation reference"/>
    <w:uiPriority w:val="99"/>
    <w:semiHidden/>
    <w:unhideWhenUsed/>
    <w:rsid w:val="00D764C2"/>
    <w:rPr>
      <w:sz w:val="16"/>
      <w:szCs w:val="16"/>
    </w:rPr>
  </w:style>
  <w:style w:type="paragraph" w:styleId="CommentText">
    <w:name w:val="annotation text"/>
    <w:basedOn w:val="Normal"/>
    <w:link w:val="CommentTextChar"/>
    <w:uiPriority w:val="99"/>
    <w:semiHidden/>
    <w:unhideWhenUsed/>
    <w:rsid w:val="00D764C2"/>
    <w:pPr>
      <w:spacing w:line="240" w:lineRule="auto"/>
    </w:pPr>
    <w:rPr>
      <w:sz w:val="20"/>
      <w:szCs w:val="20"/>
    </w:rPr>
  </w:style>
  <w:style w:type="character" w:customStyle="1" w:styleId="CommentTextChar">
    <w:name w:val="Comment Text Char"/>
    <w:link w:val="CommentText"/>
    <w:uiPriority w:val="99"/>
    <w:semiHidden/>
    <w:rsid w:val="00D764C2"/>
    <w:rPr>
      <w:sz w:val="20"/>
      <w:szCs w:val="20"/>
    </w:rPr>
  </w:style>
  <w:style w:type="paragraph" w:styleId="CommentSubject">
    <w:name w:val="annotation subject"/>
    <w:basedOn w:val="CommentText"/>
    <w:next w:val="CommentText"/>
    <w:link w:val="CommentSubjectChar"/>
    <w:uiPriority w:val="99"/>
    <w:semiHidden/>
    <w:unhideWhenUsed/>
    <w:rsid w:val="00D764C2"/>
    <w:rPr>
      <w:b/>
      <w:bCs/>
    </w:rPr>
  </w:style>
  <w:style w:type="character" w:customStyle="1" w:styleId="CommentSubjectChar">
    <w:name w:val="Comment Subject Char"/>
    <w:link w:val="CommentSubject"/>
    <w:uiPriority w:val="99"/>
    <w:semiHidden/>
    <w:rsid w:val="00D764C2"/>
    <w:rPr>
      <w:b/>
      <w:bCs/>
      <w:sz w:val="20"/>
      <w:szCs w:val="20"/>
    </w:rPr>
  </w:style>
  <w:style w:type="paragraph" w:styleId="NormalWeb">
    <w:name w:val="Normal (Web)"/>
    <w:basedOn w:val="Normal"/>
    <w:uiPriority w:val="99"/>
    <w:semiHidden/>
    <w:unhideWhenUsed/>
    <w:rsid w:val="00CB18C3"/>
    <w:pPr>
      <w:spacing w:before="100" w:beforeAutospacing="1" w:after="100" w:afterAutospacing="1" w:line="240" w:lineRule="auto"/>
    </w:pPr>
    <w:rPr>
      <w:rFonts w:ascii="Times" w:eastAsia="MS Mincho" w:hAnsi="Times"/>
      <w:sz w:val="20"/>
      <w:szCs w:val="20"/>
    </w:rPr>
  </w:style>
  <w:style w:type="character" w:styleId="PlaceholderText">
    <w:name w:val="Placeholder Text"/>
    <w:uiPriority w:val="99"/>
    <w:semiHidden/>
    <w:rsid w:val="00B901C9"/>
    <w:rPr>
      <w:color w:val="808080"/>
    </w:rPr>
  </w:style>
  <w:style w:type="paragraph" w:styleId="ListParagraph">
    <w:name w:val="List Paragraph"/>
    <w:basedOn w:val="Normal"/>
    <w:uiPriority w:val="34"/>
    <w:qFormat/>
    <w:rsid w:val="00CC53C6"/>
    <w:pPr>
      <w:ind w:left="720"/>
      <w:contextualSpacing/>
    </w:pPr>
  </w:style>
  <w:style w:type="character" w:customStyle="1" w:styleId="apple-converted-space">
    <w:name w:val="apple-converted-space"/>
    <w:basedOn w:val="DefaultParagraphFont"/>
    <w:rsid w:val="000928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DE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0DE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30DEC"/>
    <w:rPr>
      <w:rFonts w:ascii="Tahoma" w:hAnsi="Tahoma" w:cs="Tahoma"/>
      <w:sz w:val="16"/>
      <w:szCs w:val="16"/>
    </w:rPr>
  </w:style>
  <w:style w:type="character" w:styleId="CommentReference">
    <w:name w:val="annotation reference"/>
    <w:uiPriority w:val="99"/>
    <w:semiHidden/>
    <w:unhideWhenUsed/>
    <w:rsid w:val="00D764C2"/>
    <w:rPr>
      <w:sz w:val="16"/>
      <w:szCs w:val="16"/>
    </w:rPr>
  </w:style>
  <w:style w:type="paragraph" w:styleId="CommentText">
    <w:name w:val="annotation text"/>
    <w:basedOn w:val="Normal"/>
    <w:link w:val="CommentTextChar"/>
    <w:uiPriority w:val="99"/>
    <w:semiHidden/>
    <w:unhideWhenUsed/>
    <w:rsid w:val="00D764C2"/>
    <w:pPr>
      <w:spacing w:line="240" w:lineRule="auto"/>
    </w:pPr>
    <w:rPr>
      <w:sz w:val="20"/>
      <w:szCs w:val="20"/>
    </w:rPr>
  </w:style>
  <w:style w:type="character" w:customStyle="1" w:styleId="CommentTextChar">
    <w:name w:val="Comment Text Char"/>
    <w:link w:val="CommentText"/>
    <w:uiPriority w:val="99"/>
    <w:semiHidden/>
    <w:rsid w:val="00D764C2"/>
    <w:rPr>
      <w:sz w:val="20"/>
      <w:szCs w:val="20"/>
    </w:rPr>
  </w:style>
  <w:style w:type="paragraph" w:styleId="CommentSubject">
    <w:name w:val="annotation subject"/>
    <w:basedOn w:val="CommentText"/>
    <w:next w:val="CommentText"/>
    <w:link w:val="CommentSubjectChar"/>
    <w:uiPriority w:val="99"/>
    <w:semiHidden/>
    <w:unhideWhenUsed/>
    <w:rsid w:val="00D764C2"/>
    <w:rPr>
      <w:b/>
      <w:bCs/>
    </w:rPr>
  </w:style>
  <w:style w:type="character" w:customStyle="1" w:styleId="CommentSubjectChar">
    <w:name w:val="Comment Subject Char"/>
    <w:link w:val="CommentSubject"/>
    <w:uiPriority w:val="99"/>
    <w:semiHidden/>
    <w:rsid w:val="00D764C2"/>
    <w:rPr>
      <w:b/>
      <w:bCs/>
      <w:sz w:val="20"/>
      <w:szCs w:val="20"/>
    </w:rPr>
  </w:style>
  <w:style w:type="paragraph" w:styleId="NormalWeb">
    <w:name w:val="Normal (Web)"/>
    <w:basedOn w:val="Normal"/>
    <w:uiPriority w:val="99"/>
    <w:semiHidden/>
    <w:unhideWhenUsed/>
    <w:rsid w:val="00CB18C3"/>
    <w:pPr>
      <w:spacing w:before="100" w:beforeAutospacing="1" w:after="100" w:afterAutospacing="1" w:line="240" w:lineRule="auto"/>
    </w:pPr>
    <w:rPr>
      <w:rFonts w:ascii="Times" w:eastAsia="MS Mincho" w:hAnsi="Times"/>
      <w:sz w:val="20"/>
      <w:szCs w:val="20"/>
    </w:rPr>
  </w:style>
  <w:style w:type="character" w:styleId="PlaceholderText">
    <w:name w:val="Placeholder Text"/>
    <w:uiPriority w:val="99"/>
    <w:semiHidden/>
    <w:rsid w:val="00B901C9"/>
    <w:rPr>
      <w:color w:val="808080"/>
    </w:rPr>
  </w:style>
  <w:style w:type="paragraph" w:styleId="ListParagraph">
    <w:name w:val="List Paragraph"/>
    <w:basedOn w:val="Normal"/>
    <w:uiPriority w:val="34"/>
    <w:qFormat/>
    <w:rsid w:val="00CC53C6"/>
    <w:pPr>
      <w:ind w:left="720"/>
      <w:contextualSpacing/>
    </w:pPr>
  </w:style>
  <w:style w:type="character" w:customStyle="1" w:styleId="apple-converted-space">
    <w:name w:val="apple-converted-space"/>
    <w:basedOn w:val="DefaultParagraphFont"/>
    <w:rsid w:val="000928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9497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11</Pages>
  <Words>3433</Words>
  <Characters>19571</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NIH</Company>
  <LinksUpToDate>false</LinksUpToDate>
  <CharactersWithSpaces>22959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Maniscalco, Brian (NIH/NINDS) [F]</dc:creator>
  <cp:keywords/>
  <cp:lastModifiedBy>Maniscalco, Brian (NIH/NINDS) [F]</cp:lastModifiedBy>
  <cp:revision>25</cp:revision>
  <dcterms:created xsi:type="dcterms:W3CDTF">2015-11-11T21:31:00Z</dcterms:created>
  <dcterms:modified xsi:type="dcterms:W3CDTF">2016-01-16T19:23:00Z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peters.megan@gmail.com@www.mendeley.com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http://www.zotero.org/styles/nature</vt:lpwstr>
  </property>
  <property fmtid="{D5CDD505-2E9C-101B-9397-08002B2CF9AE}" pid="18" name="Mendeley Recent Style Name 6_1">
    <vt:lpwstr>Nature</vt:lpwstr>
  </property>
  <property fmtid="{D5CDD505-2E9C-101B-9397-08002B2CF9AE}" pid="19" name="Mendeley Recent Style Id 7_1">
    <vt:lpwstr>http://www.zotero.org/styles/nature-neuroscience</vt:lpwstr>
  </property>
  <property fmtid="{D5CDD505-2E9C-101B-9397-08002B2CF9AE}" pid="20" name="Mendeley Recent Style Name 7_1">
    <vt:lpwstr>Nature Neuroscience</vt:lpwstr>
  </property>
  <property fmtid="{D5CDD505-2E9C-101B-9397-08002B2CF9AE}" pid="21" name="Mendeley Recent Style Id 8_1">
    <vt:lpwstr>http://www.zotero.org/styles/plos-biology</vt:lpwstr>
  </property>
  <property fmtid="{D5CDD505-2E9C-101B-9397-08002B2CF9AE}" pid="22" name="Mendeley Recent Style Name 8_1">
    <vt:lpwstr>PLOS Biology</vt:lpwstr>
  </property>
  <property fmtid="{D5CDD505-2E9C-101B-9397-08002B2CF9AE}" pid="23" name="Mendeley Recent Style Id 9_1">
    <vt:lpwstr>http://www.zotero.org/styles/plos-one</vt:lpwstr>
  </property>
  <property fmtid="{D5CDD505-2E9C-101B-9397-08002B2CF9AE}" pid="24" name="Mendeley Recent Style Name 9_1">
    <vt:lpwstr>PLOS ONE</vt:lpwstr>
  </property>
</Properties>
</file>